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ascii="黑体" w:hAnsi="Times New Roman" w:eastAsia="黑体" w:cs="Times New Roman"/>
          <w:b/>
          <w:bCs/>
          <w:spacing w:val="-20"/>
          <w:sz w:val="32"/>
          <w:szCs w:val="32"/>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lang w:eastAsia="zh-CN"/>
        </w:rPr>
        <w:t>兵团级</w:t>
      </w:r>
      <w:r>
        <w:rPr>
          <w:rFonts w:hint="eastAsia" w:ascii="黑体" w:hAnsi="黑体" w:eastAsia="黑体" w:cs="Times New Roman"/>
          <w:bCs/>
          <w:spacing w:val="-20"/>
          <w:sz w:val="52"/>
          <w:szCs w:val="52"/>
        </w:rPr>
        <w:t>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right="86" w:rightChars="0"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石河子大学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ascii="Arial" w:hAnsi="Arial" w:eastAsia="楷体_GB2312" w:cs="Times New Roman"/>
          <w:sz w:val="36"/>
          <w:szCs w:val="24"/>
          <w:u w:val="single"/>
        </w:rPr>
        <w:t xml:space="preserve">      </w:t>
      </w:r>
    </w:p>
    <w:p>
      <w:pPr>
        <w:spacing w:line="720" w:lineRule="exact"/>
        <w:ind w:right="86" w:rightChars="0"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食品质量与安全</w:t>
      </w:r>
      <w:r>
        <w:rPr>
          <w:rFonts w:ascii="Arial" w:hAnsi="Arial" w:eastAsia="楷体_GB2312" w:cs="Times New Roman"/>
          <w:sz w:val="36"/>
          <w:szCs w:val="24"/>
          <w:u w:val="single"/>
        </w:rPr>
        <w:t xml:space="preserve">       </w:t>
      </w:r>
    </w:p>
    <w:p>
      <w:pPr>
        <w:spacing w:line="720" w:lineRule="exact"/>
        <w:ind w:right="86" w:rightChars="0"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ascii="Arial" w:hAnsi="Arial" w:eastAsia="楷体_GB2312" w:cs="Times New Roman"/>
          <w:sz w:val="36"/>
          <w:szCs w:val="24"/>
          <w:u w:val="single"/>
        </w:rPr>
        <w:t xml:space="preserve">  </w:t>
      </w:r>
      <w:r>
        <w:rPr>
          <w:rFonts w:hint="default" w:ascii="Times New Roman" w:hAnsi="Times New Roman" w:eastAsia="楷体_GB2312" w:cs="Times New Roman"/>
          <w:sz w:val="36"/>
          <w:szCs w:val="24"/>
          <w:u w:val="single"/>
          <w:lang w:val="en-US" w:eastAsia="zh-CN"/>
        </w:rPr>
        <w:t>082702</w:t>
      </w:r>
      <w:r>
        <w:rPr>
          <w:rFonts w:ascii="Arial" w:hAnsi="Arial" w:eastAsia="楷体_GB2312" w:cs="Times New Roman"/>
          <w:sz w:val="36"/>
          <w:szCs w:val="24"/>
          <w:u w:val="single"/>
        </w:rPr>
        <w:t xml:space="preserve">           </w:t>
      </w:r>
    </w:p>
    <w:p>
      <w:pPr>
        <w:spacing w:line="720" w:lineRule="exact"/>
        <w:ind w:right="86" w:rightChars="0"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r>
        <w:rPr>
          <w:rFonts w:hint="eastAsia" w:ascii="Arial" w:hAnsi="Arial" w:eastAsia="楷体_GB2312" w:cs="Times New Roman"/>
          <w:spacing w:val="14"/>
          <w:sz w:val="36"/>
          <w:szCs w:val="24"/>
          <w:u w:val="single"/>
          <w:lang w:val="en-US" w:eastAsia="zh-CN"/>
        </w:rPr>
        <w:t>工 科</w:t>
      </w:r>
      <w:r>
        <w:rPr>
          <w:rFonts w:ascii="Arial" w:hAnsi="Arial" w:eastAsia="楷体_GB2312" w:cs="Times New Roman"/>
          <w:spacing w:val="14"/>
          <w:sz w:val="36"/>
          <w:szCs w:val="24"/>
          <w:u w:val="single"/>
        </w:rPr>
        <w:t xml:space="preserve">          </w:t>
      </w:r>
    </w:p>
    <w:p>
      <w:pPr>
        <w:spacing w:line="720" w:lineRule="exact"/>
        <w:ind w:right="86" w:rightChars="0"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董 娟</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ascii="Arial" w:hAnsi="Arial" w:eastAsia="楷体_GB2312" w:cs="Times New Roman"/>
          <w:sz w:val="36"/>
          <w:szCs w:val="24"/>
          <w:u w:val="single"/>
        </w:rPr>
        <w:t xml:space="preserve">     </w:t>
      </w:r>
    </w:p>
    <w:p>
      <w:pPr>
        <w:spacing w:line="720" w:lineRule="exact"/>
        <w:ind w:right="86" w:rightChars="0"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default" w:ascii="Times New Roman" w:hAnsi="Times New Roman" w:eastAsia="楷体_GB2312" w:cs="Times New Roman"/>
          <w:sz w:val="36"/>
          <w:szCs w:val="24"/>
          <w:u w:val="single"/>
          <w:lang w:val="en-US" w:eastAsia="zh-CN"/>
        </w:rPr>
        <w:t>18009936945</w:t>
      </w:r>
      <w:r>
        <w:rPr>
          <w:rFonts w:hint="default"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u w:val="single"/>
          <w:lang w:val="en-US" w:eastAsia="zh-CN"/>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兵团教育局制</w:t>
      </w:r>
    </w:p>
    <w:p>
      <w:pPr>
        <w:jc w:val="center"/>
        <w:rPr>
          <w:rFonts w:hint="eastAsia" w:ascii="黑体" w:hAnsi="Arial" w:eastAsia="黑体" w:cs="Times New Roman"/>
          <w:bCs/>
          <w:spacing w:val="100"/>
          <w:sz w:val="36"/>
          <w:szCs w:val="36"/>
        </w:rPr>
        <w:sectPr>
          <w:pgSz w:w="11906" w:h="16838"/>
          <w:pgMar w:top="1440" w:right="1800" w:bottom="1440" w:left="1800" w:header="851" w:footer="992" w:gutter="0"/>
          <w:cols w:space="425" w:num="1"/>
          <w:docGrid w:type="lines" w:linePitch="312" w:charSpace="0"/>
        </w:sectPr>
      </w:pP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报送</w:t>
      </w:r>
      <w:r>
        <w:rPr>
          <w:rFonts w:hint="eastAsia" w:ascii="仿宋" w:hAnsi="仿宋" w:eastAsia="仿宋" w:cs="Times New Roman"/>
          <w:sz w:val="32"/>
          <w:szCs w:val="32"/>
        </w:rPr>
        <w:t>单位按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至兵团教育局。</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jc w:val="center"/>
        <w:rPr>
          <w:rFonts w:ascii="黑体" w:hAnsi="Times New Roman" w:eastAsia="黑体" w:cs="Times New Roman"/>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hint="eastAsia" w:ascii="黑体" w:hAnsi="黑体" w:eastAsia="黑体" w:cs="Times New Roman"/>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cs="Times New Roman"/>
          <w:sz w:val="32"/>
          <w:szCs w:val="32"/>
        </w:rPr>
      </w:pPr>
      <w:r>
        <w:rPr>
          <w:rFonts w:hint="eastAsia" w:ascii="黑体" w:hAnsi="黑体" w:eastAsia="黑体" w:cs="Times New Roman"/>
          <w:sz w:val="32"/>
          <w:szCs w:val="32"/>
        </w:rPr>
        <w:t>一、所在高校基本情况</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523"/>
        <w:gridCol w:w="3081"/>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学校名称</w:t>
            </w:r>
          </w:p>
        </w:tc>
        <w:tc>
          <w:tcPr>
            <w:tcW w:w="1654" w:type="dxa"/>
            <w:gridSpan w:val="3"/>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石河子大学</w:t>
            </w:r>
          </w:p>
        </w:tc>
        <w:tc>
          <w:tcPr>
            <w:tcW w:w="3081"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hint="default" w:ascii="Times New Roman" w:hAnsi="Times New Roman" w:eastAsia="仿宋_GB2312" w:cs="Times New Roman"/>
                <w:color w:val="0000FF"/>
                <w:sz w:val="24"/>
                <w:szCs w:val="24"/>
              </w:rPr>
            </w:pPr>
            <w:r>
              <w:rPr>
                <w:rFonts w:hint="default" w:ascii="Times New Roman" w:hAnsi="Times New Roman" w:eastAsia="仿宋_GB2312" w:cs="Times New Roman"/>
                <w:color w:val="auto"/>
                <w:sz w:val="24"/>
                <w:szCs w:val="24"/>
                <w:lang w:val="en-US" w:eastAsia="zh-CN"/>
              </w:rPr>
              <w:t>22609</w:t>
            </w:r>
            <w:r>
              <w:rPr>
                <w:rFonts w:hint="default" w:ascii="Times New Roman" w:hAnsi="Times New Roman" w:eastAsia="仿宋_GB2312" w:cs="Times New Roman"/>
                <w:color w:val="auto"/>
                <w:sz w:val="24"/>
                <w:szCs w:val="24"/>
              </w:rPr>
              <w:t>人</w:t>
            </w:r>
          </w:p>
        </w:tc>
        <w:tc>
          <w:tcPr>
            <w:tcW w:w="4094" w:type="dxa"/>
            <w:gridSpan w:val="4"/>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近3年年均本科招生数</w:t>
            </w:r>
          </w:p>
        </w:tc>
        <w:tc>
          <w:tcPr>
            <w:tcW w:w="1161" w:type="dxa"/>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5740</w:t>
            </w:r>
            <w:r>
              <w:rPr>
                <w:rFonts w:hint="default" w:ascii="Times New Roman" w:hAnsi="Times New Roman" w:eastAsia="仿宋_GB2312" w:cs="Times New Roman"/>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hint="default" w:ascii="Times New Roman" w:hAnsi="Times New Roman" w:eastAsia="仿宋_GB2312" w:cs="Times New Roman"/>
                <w:color w:val="C00000"/>
                <w:sz w:val="24"/>
                <w:szCs w:val="24"/>
              </w:rPr>
            </w:pPr>
            <w:r>
              <w:rPr>
                <w:rFonts w:hint="default" w:ascii="Times New Roman" w:hAnsi="Times New Roman" w:eastAsia="仿宋_GB2312" w:cs="Times New Roman"/>
                <w:color w:val="auto"/>
                <w:sz w:val="24"/>
                <w:szCs w:val="24"/>
                <w:lang w:val="en-US" w:eastAsia="zh-CN"/>
              </w:rPr>
              <w:t>1656</w:t>
            </w:r>
            <w:r>
              <w:rPr>
                <w:rFonts w:hint="default" w:ascii="Times New Roman" w:hAnsi="Times New Roman" w:eastAsia="仿宋_GB2312" w:cs="Times New Roman"/>
                <w:color w:val="auto"/>
                <w:sz w:val="24"/>
                <w:szCs w:val="24"/>
              </w:rPr>
              <w:t>人</w:t>
            </w:r>
          </w:p>
        </w:tc>
        <w:tc>
          <w:tcPr>
            <w:tcW w:w="4094" w:type="dxa"/>
            <w:gridSpan w:val="4"/>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58.99</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hint="default" w:ascii="Times New Roman" w:hAnsi="Times New Roman" w:eastAsia="仿宋_GB2312" w:cs="Times New Roman"/>
                <w:color w:val="C00000"/>
                <w:sz w:val="24"/>
                <w:szCs w:val="24"/>
              </w:rPr>
            </w:pPr>
            <w:r>
              <w:rPr>
                <w:rFonts w:hint="default" w:ascii="Times New Roman" w:hAnsi="Times New Roman" w:eastAsia="仿宋_GB2312" w:cs="Times New Roman"/>
                <w:color w:val="auto"/>
                <w:sz w:val="24"/>
                <w:szCs w:val="24"/>
                <w:lang w:val="en-US" w:eastAsia="zh-CN"/>
              </w:rPr>
              <w:t>18.86</w:t>
            </w:r>
          </w:p>
        </w:tc>
        <w:tc>
          <w:tcPr>
            <w:tcW w:w="4094" w:type="dxa"/>
            <w:gridSpan w:val="4"/>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93.53</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9" w:hRule="atLeast"/>
        </w:trPr>
        <w:tc>
          <w:tcPr>
            <w:tcW w:w="1973"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推进高水平本科建设整体情况</w:t>
            </w:r>
          </w:p>
        </w:tc>
        <w:tc>
          <w:tcPr>
            <w:tcW w:w="6386" w:type="dxa"/>
            <w:gridSpan w:val="7"/>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学校以习近平新时代中国特色社会主义思想为指导，全面贯彻党的教育方针，落实立德树人根本任务，坚持“以本为本”，落实“四个回归”，秉承“明德正行、博学多能”的校训，立足边疆建设谋发展，植根兵团事业做贡献，持续深化教育教学改革，规范教学秩序，激励学生刻苦学习，引导教师潜心教书育人，形成了“以兵团精神育人，为维稳戍边服务”的办学特色，努力培养德智体美劳全面发展的社会主义建设者和接班人。</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第一，坚持立德树人根本任务，加强思政教学建设。学校持续加强马克思主义学院和思想政治理论课建设，全面推进课程思政建设，不断创新思想政治教育方式，推进三全育人工作格局。修订本科人才培养方案，推动德育、智育、体育、美育、劳动教育与专业教育深度融合，促进学生全面发展。坚持以兵团精神育人，培育和引导学生践行社会主义核心价值观，以爱国主义精神厚植家国情怀，获批首批国家课程思政示范课程2门。</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第二，落实以本为本，深化教育教学改革。学校围绕“四个回归”，推进学分制改革，推动学生跨学科、跨专业学习，推进课堂教学改革创新，落实教授为本科生授课制度，探索本科生导师制，鼓励教师将学科前沿和科研成果转化为课程教学内容，淘汰“水课”、打造“金课”。深化创新创业教育改革，实施创新创业学分积累与转换，大力推动思创融合，三次获得全国“互联网+”大赛青年红色筑梦之旅优秀组织奖。</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第三，聚焦“四新”建设，增强人才培养能力。学校印发了“四新”建设方案，不断优化学科布局，深化专业改革与内涵建设。新增网络空间安全、智慧农业、应急管理等一批战略性新兴产业和社会急需专业，每年停招10-14个专业，将相同或相近专业类的专业合并为大类进行招生培养。2019年以来，学校自筹5000余万元用于专业认证、一流专业和一流课程建设等，累计获批教育部新工科、新农科、新文科研究与改革实践项目11项。</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第四，加强协同育人，提升人才培养水平。学校持续改进和创新箐英班、华理班、机要班等校际、校企、校地协同育人模式，推动实验室、实习基地、实践教学共享平台建设，加强实践教学过程管理，推动科研反哺教学，支持学生早进课题、早进实验室、早进团队。主动服务国家对外开放大局，积极开拓中外合作办学项目，融入“一带一路”建设。以5个国家特色专业建设点为核心，建设了一批卓越人才培养基地，获批教育部卓越医生、卓越工程师和卓越农林人才培养计划项目试点高校，4个专业在新疆高校范围内率先通过专业认证。 </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kern w:val="0"/>
                <w:sz w:val="24"/>
                <w:szCs w:val="24"/>
                <w:lang w:val="en-US" w:eastAsia="zh-CN" w:bidi="ar"/>
              </w:rPr>
              <w:t>第五，强化监督保障体系，大力培育质量文化。学校高度重视质量评估体系建设，建立了第三方专业机构参与的内外部结合的质量保障体系，建立了依据“招生、就业、质量”决定学科专业发展的动态调整机制。充分利用高等教育质量监测国家数据平台和校内教学质量监控平台开展问题查找与整改，坚持开展校内专业评估，推进专业认证工作，不断强化师生的质量意识，完善学生学习过程监测、评估与反馈机制，推进学校质量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学校关于本科</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人才培养的重要</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政策文件</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（限10项）</w:t>
            </w:r>
          </w:p>
        </w:tc>
        <w:tc>
          <w:tcPr>
            <w:tcW w:w="708" w:type="dxa"/>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402" w:type="dxa"/>
            <w:gridSpan w:val="4"/>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文件名称</w:t>
            </w:r>
          </w:p>
        </w:tc>
        <w:tc>
          <w:tcPr>
            <w:tcW w:w="1276" w:type="dxa"/>
            <w:gridSpan w:val="2"/>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《石河子大学本科专业动态调整实施办法》</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《石河子大学实践教学工作管理办法》</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《石河子大学本科教学质量保障体系建设及运行办法》</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《石河子大学教学基层组织工作管理办法》</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《石河子大学一流本科专业建设实施办法》</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《石河子大学一流本科课程建设方案》</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《石河子大学进一步深化“三全育人” 工作实施方案》</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《石河子大学全面推进新工科、新医科、新农科和新文科建设工作方案》</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《石河子大学本科课堂教学质量综合评价实施办法（修订）》</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4402" w:type="dxa"/>
            <w:gridSpan w:val="4"/>
            <w:vAlign w:val="center"/>
          </w:tcPr>
          <w:p>
            <w:pPr>
              <w:spacing w:line="32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《石河子大学全面推进课程思政建设实施方案（2022—2025）》</w:t>
            </w:r>
          </w:p>
        </w:tc>
        <w:tc>
          <w:tcPr>
            <w:tcW w:w="1276"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2022-11</w:t>
            </w: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53"/>
        <w:gridCol w:w="20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953" w:type="dxa"/>
            <w:vAlign w:val="center"/>
          </w:tcPr>
          <w:p>
            <w:pPr>
              <w:jc w:val="center"/>
              <w:rPr>
                <w:rFonts w:ascii="Times New Roman" w:hAnsi="Times New Roman" w:eastAsia="仿宋_GB2312" w:cs="Times New Roman"/>
                <w:sz w:val="24"/>
                <w:szCs w:val="24"/>
              </w:rPr>
            </w:pPr>
            <w:r>
              <w:rPr>
                <w:rFonts w:hint="default" w:ascii="Times New Roman" w:hAnsi="Times New Roman" w:eastAsia="仿宋" w:cs="Times New Roman"/>
                <w:sz w:val="24"/>
                <w:szCs w:val="24"/>
                <w:lang w:val="en-US" w:eastAsia="zh-CN"/>
              </w:rPr>
              <w:t>食品质量与安全</w:t>
            </w:r>
          </w:p>
        </w:tc>
        <w:tc>
          <w:tcPr>
            <w:tcW w:w="207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2270" w:type="dxa"/>
            <w:vAlign w:val="center"/>
          </w:tcPr>
          <w:p>
            <w:pPr>
              <w:jc w:val="center"/>
              <w:rPr>
                <w:rFonts w:ascii="Times New Roman" w:hAnsi="Times New Roman" w:eastAsia="仿宋_GB2312" w:cs="Times New Roman"/>
                <w:sz w:val="24"/>
                <w:szCs w:val="24"/>
              </w:rPr>
            </w:pPr>
            <w:r>
              <w:rPr>
                <w:rFonts w:hint="default" w:ascii="Times New Roman" w:hAnsi="Times New Roman" w:eastAsia="仿宋" w:cs="Times New Roman"/>
                <w:sz w:val="24"/>
                <w:szCs w:val="24"/>
                <w:lang w:val="en-US" w:eastAsia="zh-CN"/>
              </w:rPr>
              <w:t>082702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953" w:type="dxa"/>
            <w:vAlign w:val="center"/>
          </w:tcPr>
          <w:p>
            <w:pPr>
              <w:jc w:val="center"/>
              <w:rPr>
                <w:rFonts w:ascii="Times New Roman" w:hAnsi="Times New Roman" w:eastAsia="仿宋_GB2312" w:cs="Times New Roman"/>
                <w:sz w:val="24"/>
                <w:szCs w:val="24"/>
              </w:rPr>
            </w:pPr>
            <w:r>
              <w:rPr>
                <w:rFonts w:hint="default" w:ascii="Times New Roman" w:hAnsi="Times New Roman" w:eastAsia="仿宋" w:cs="Times New Roman"/>
                <w:sz w:val="24"/>
                <w:szCs w:val="24"/>
                <w:lang w:val="en-US" w:eastAsia="zh-CN"/>
              </w:rPr>
              <w:t>四年</w:t>
            </w:r>
          </w:p>
        </w:tc>
        <w:tc>
          <w:tcPr>
            <w:tcW w:w="207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2270" w:type="dxa"/>
            <w:vAlign w:val="center"/>
          </w:tcPr>
          <w:p>
            <w:pPr>
              <w:jc w:val="center"/>
              <w:rPr>
                <w:rFonts w:ascii="Times New Roman" w:hAnsi="Times New Roman" w:eastAsia="仿宋_GB2312" w:cs="Times New Roman"/>
                <w:sz w:val="24"/>
                <w:szCs w:val="24"/>
              </w:rPr>
            </w:pPr>
            <w:r>
              <w:rPr>
                <w:rFonts w:hint="default" w:ascii="Times New Roman" w:hAnsi="Times New Roman" w:eastAsia="仿宋" w:cs="Times New Roman"/>
                <w:sz w:val="24"/>
                <w:szCs w:val="24"/>
                <w:lang w:val="en-US" w:eastAsia="zh-CN"/>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953" w:type="dxa"/>
            <w:vAlign w:val="center"/>
          </w:tcPr>
          <w:p>
            <w:pPr>
              <w:jc w:val="center"/>
              <w:rPr>
                <w:rFonts w:ascii="Times New Roman" w:hAnsi="Times New Roman" w:eastAsia="仿宋_GB2312" w:cs="Times New Roman"/>
                <w:sz w:val="24"/>
                <w:szCs w:val="24"/>
              </w:rPr>
            </w:pPr>
            <w:r>
              <w:rPr>
                <w:rFonts w:hint="default" w:ascii="Times New Roman" w:hAnsi="Times New Roman" w:eastAsia="仿宋" w:cs="Times New Roman"/>
                <w:sz w:val="24"/>
                <w:szCs w:val="24"/>
                <w:lang w:val="en-US" w:eastAsia="zh-CN"/>
              </w:rPr>
              <w:t>200</w:t>
            </w:r>
            <w:r>
              <w:rPr>
                <w:rFonts w:hint="eastAsia" w:ascii="Times New Roman" w:hAnsi="Times New Roman" w:eastAsia="仿宋" w:cs="Times New Roman"/>
                <w:sz w:val="24"/>
                <w:szCs w:val="24"/>
                <w:lang w:val="en-US" w:eastAsia="zh-CN"/>
              </w:rPr>
              <w:t>5年</w:t>
            </w:r>
          </w:p>
        </w:tc>
        <w:tc>
          <w:tcPr>
            <w:tcW w:w="207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2270" w:type="dxa"/>
            <w:vAlign w:val="center"/>
          </w:tcPr>
          <w:p>
            <w:pPr>
              <w:jc w:val="center"/>
              <w:rPr>
                <w:rFonts w:ascii="Times New Roman" w:hAnsi="Times New Roman" w:eastAsia="仿宋_GB2312" w:cs="Times New Roman"/>
                <w:sz w:val="24"/>
                <w:szCs w:val="24"/>
              </w:rPr>
            </w:pPr>
            <w:r>
              <w:rPr>
                <w:rFonts w:hint="default" w:ascii="Times New Roman" w:hAnsi="Times New Roman" w:eastAsia="仿宋" w:cs="Times New Roman"/>
                <w:sz w:val="24"/>
                <w:szCs w:val="24"/>
                <w:lang w:val="en-US" w:eastAsia="zh-CN"/>
              </w:rPr>
              <w:t>食品质量与安全系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953"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169</w:t>
            </w:r>
          </w:p>
        </w:tc>
        <w:tc>
          <w:tcPr>
            <w:tcW w:w="207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2270"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41"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47" w:type="dxa"/>
            <w:gridSpan w:val="2"/>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41"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47" w:type="dxa"/>
            <w:gridSpan w:val="2"/>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100%</w:t>
            </w:r>
          </w:p>
        </w:tc>
      </w:tr>
    </w:tbl>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6"/>
        <w:tblW w:w="49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1480"/>
        <w:gridCol w:w="909"/>
        <w:gridCol w:w="878"/>
        <w:gridCol w:w="1705"/>
        <w:gridCol w:w="966"/>
        <w:gridCol w:w="819"/>
        <w:gridCol w:w="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9" w:type="pct"/>
            <w:vMerge w:val="restar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873" w:type="pct"/>
            <w:vMerge w:val="restar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董娟</w:t>
            </w:r>
          </w:p>
        </w:tc>
        <w:tc>
          <w:tcPr>
            <w:tcW w:w="536"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性别</w:t>
            </w:r>
          </w:p>
        </w:tc>
        <w:tc>
          <w:tcPr>
            <w:tcW w:w="518" w:type="pc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女</w:t>
            </w:r>
          </w:p>
        </w:tc>
        <w:tc>
          <w:tcPr>
            <w:tcW w:w="1006" w:type="pct"/>
            <w:noWrap w:val="0"/>
            <w:tcMar>
              <w:left w:w="28" w:type="dxa"/>
              <w:right w:w="28" w:type="dxa"/>
            </w:tcMar>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专业技术职务</w:t>
            </w:r>
          </w:p>
        </w:tc>
        <w:tc>
          <w:tcPr>
            <w:tcW w:w="570" w:type="pc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教授</w:t>
            </w:r>
          </w:p>
        </w:tc>
        <w:tc>
          <w:tcPr>
            <w:tcW w:w="483"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学历</w:t>
            </w:r>
          </w:p>
        </w:tc>
        <w:tc>
          <w:tcPr>
            <w:tcW w:w="572" w:type="pc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9" w:type="pct"/>
            <w:vMerge w:val="continue"/>
            <w:noWrap w:val="0"/>
            <w:vAlign w:val="center"/>
          </w:tcPr>
          <w:p>
            <w:pPr>
              <w:jc w:val="center"/>
              <w:rPr>
                <w:rFonts w:hint="default" w:ascii="Times New Roman" w:hAnsi="Times New Roman" w:eastAsia="仿宋" w:cs="Times New Roman"/>
                <w:sz w:val="24"/>
                <w:szCs w:val="24"/>
              </w:rPr>
            </w:pPr>
          </w:p>
        </w:tc>
        <w:tc>
          <w:tcPr>
            <w:tcW w:w="873" w:type="pct"/>
            <w:vMerge w:val="continue"/>
            <w:noWrap w:val="0"/>
            <w:vAlign w:val="center"/>
          </w:tcPr>
          <w:p>
            <w:pPr>
              <w:jc w:val="center"/>
              <w:rPr>
                <w:rFonts w:hint="default" w:ascii="Times New Roman" w:hAnsi="Times New Roman" w:eastAsia="仿宋" w:cs="Times New Roman"/>
                <w:sz w:val="24"/>
                <w:szCs w:val="24"/>
              </w:rPr>
            </w:pPr>
          </w:p>
        </w:tc>
        <w:tc>
          <w:tcPr>
            <w:tcW w:w="536"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出生</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年月</w:t>
            </w:r>
          </w:p>
        </w:tc>
        <w:tc>
          <w:tcPr>
            <w:tcW w:w="518" w:type="pc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1981.7</w:t>
            </w:r>
          </w:p>
        </w:tc>
        <w:tc>
          <w:tcPr>
            <w:tcW w:w="1006"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行政职务</w:t>
            </w:r>
          </w:p>
        </w:tc>
        <w:tc>
          <w:tcPr>
            <w:tcW w:w="570" w:type="pc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系主任</w:t>
            </w:r>
          </w:p>
        </w:tc>
        <w:tc>
          <w:tcPr>
            <w:tcW w:w="483"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学位</w:t>
            </w:r>
          </w:p>
        </w:tc>
        <w:tc>
          <w:tcPr>
            <w:tcW w:w="572" w:type="pct"/>
            <w:noWrap w:val="0"/>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1312" w:type="pct"/>
            <w:gridSpan w:val="2"/>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研究方向和近三年主讲的本科课程</w:t>
            </w:r>
          </w:p>
        </w:tc>
        <w:tc>
          <w:tcPr>
            <w:tcW w:w="3687"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董娟，教授，工学博士，硕士生导师。</w:t>
            </w:r>
            <w:r>
              <w:rPr>
                <w:rFonts w:hint="eastAsia" w:ascii="Times New Roman" w:hAnsi="Times New Roman" w:eastAsia="仿宋" w:cs="Times New Roman"/>
                <w:sz w:val="24"/>
                <w:szCs w:val="24"/>
                <w:lang w:val="en-US" w:eastAsia="zh-CN"/>
              </w:rPr>
              <w:t>主要从事食品分析与安全检测方面的教学科研工作，先后获得兵团“优秀青年教师”、八师“中青年科技创新领军人才”、石河子大学“教学名师”等称号，</w:t>
            </w:r>
            <w:r>
              <w:rPr>
                <w:rFonts w:hint="default" w:ascii="Times New Roman" w:hAnsi="Times New Roman" w:eastAsia="仿宋" w:cs="Times New Roman"/>
                <w:sz w:val="24"/>
                <w:szCs w:val="24"/>
                <w:lang w:val="en-US" w:eastAsia="zh-CN"/>
              </w:rPr>
              <w:t>主持国家级课题2项，</w:t>
            </w:r>
            <w:r>
              <w:rPr>
                <w:rFonts w:hint="eastAsia" w:ascii="Times New Roman" w:hAnsi="Times New Roman" w:eastAsia="仿宋" w:cs="Times New Roman"/>
                <w:sz w:val="24"/>
                <w:szCs w:val="24"/>
                <w:lang w:val="en-US" w:eastAsia="zh-CN"/>
              </w:rPr>
              <w:t>自治区重大科技专项1项，</w:t>
            </w:r>
            <w:r>
              <w:rPr>
                <w:rFonts w:hint="default" w:ascii="Times New Roman" w:hAnsi="Times New Roman" w:eastAsia="仿宋" w:cs="Times New Roman"/>
                <w:sz w:val="24"/>
                <w:szCs w:val="24"/>
                <w:lang w:val="en-US" w:eastAsia="zh-CN"/>
              </w:rPr>
              <w:t>省部级课题2项，师（厅）级课题10项</w:t>
            </w:r>
            <w:r>
              <w:rPr>
                <w:rFonts w:hint="eastAsia" w:ascii="Times New Roman" w:hAnsi="Times New Roman" w:eastAsia="仿宋" w:cs="Times New Roman"/>
                <w:sz w:val="24"/>
                <w:szCs w:val="24"/>
                <w:lang w:val="en-US" w:eastAsia="zh-CN"/>
              </w:rPr>
              <w:t>，是校级一流</w:t>
            </w:r>
            <w:r>
              <w:rPr>
                <w:rFonts w:hint="default" w:ascii="Times New Roman" w:hAnsi="Times New Roman" w:eastAsia="仿宋" w:cs="Times New Roman"/>
                <w:sz w:val="24"/>
                <w:szCs w:val="24"/>
                <w:lang w:val="en-US" w:eastAsia="zh-CN"/>
              </w:rPr>
              <w:t>课程《食品分析》的</w:t>
            </w:r>
            <w:r>
              <w:rPr>
                <w:rFonts w:hint="eastAsia" w:ascii="Times New Roman" w:hAnsi="Times New Roman" w:eastAsia="仿宋" w:cs="Times New Roman"/>
                <w:sz w:val="24"/>
                <w:szCs w:val="24"/>
                <w:lang w:val="en-US" w:eastAsia="zh-CN"/>
              </w:rPr>
              <w:t>课程</w:t>
            </w:r>
            <w:r>
              <w:rPr>
                <w:rFonts w:hint="default" w:ascii="Times New Roman" w:hAnsi="Times New Roman" w:eastAsia="仿宋" w:cs="Times New Roman"/>
                <w:sz w:val="24"/>
                <w:szCs w:val="24"/>
                <w:lang w:val="en-US" w:eastAsia="zh-CN"/>
              </w:rPr>
              <w:t>负责人。近三年主讲的本科课程有《食品分析》、《食品安全学》、《食品化学》和《食品分析实验》四门课程。</w:t>
            </w: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6"/>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311"/>
        <w:gridCol w:w="1574"/>
        <w:gridCol w:w="1575"/>
        <w:gridCol w:w="131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73"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年份</w:t>
            </w:r>
          </w:p>
        </w:tc>
        <w:tc>
          <w:tcPr>
            <w:tcW w:w="764"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毕业生</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人数</w:t>
            </w:r>
          </w:p>
        </w:tc>
        <w:tc>
          <w:tcPr>
            <w:tcW w:w="917"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境内升学</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人数</w:t>
            </w:r>
          </w:p>
        </w:tc>
        <w:tc>
          <w:tcPr>
            <w:tcW w:w="917"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境外升学</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人数</w:t>
            </w:r>
          </w:p>
        </w:tc>
        <w:tc>
          <w:tcPr>
            <w:tcW w:w="764"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就业人数</w:t>
            </w:r>
          </w:p>
        </w:tc>
        <w:tc>
          <w:tcPr>
            <w:tcW w:w="1062" w:type="pct"/>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自主创业</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pct"/>
            <w:noWrap/>
            <w:vAlign w:val="center"/>
          </w:tcPr>
          <w:p>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2019年</w:t>
            </w:r>
          </w:p>
        </w:tc>
        <w:tc>
          <w:tcPr>
            <w:tcW w:w="764" w:type="pct"/>
            <w:noWrap w:val="0"/>
            <w:vAlign w:val="center"/>
          </w:tcPr>
          <w:p>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76</w:t>
            </w:r>
          </w:p>
        </w:tc>
        <w:tc>
          <w:tcPr>
            <w:tcW w:w="917" w:type="pct"/>
            <w:noWrap/>
            <w:vAlign w:val="center"/>
          </w:tcPr>
          <w:p>
            <w:pPr>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18</w:t>
            </w:r>
          </w:p>
        </w:tc>
        <w:tc>
          <w:tcPr>
            <w:tcW w:w="917" w:type="pct"/>
            <w:noWrap/>
            <w:vAlign w:val="center"/>
          </w:tcPr>
          <w:p>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0</w:t>
            </w:r>
          </w:p>
        </w:tc>
        <w:tc>
          <w:tcPr>
            <w:tcW w:w="764" w:type="pct"/>
            <w:noWrap/>
            <w:vAlign w:val="center"/>
          </w:tcPr>
          <w:p>
            <w:pPr>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53</w:t>
            </w:r>
          </w:p>
        </w:tc>
        <w:tc>
          <w:tcPr>
            <w:tcW w:w="1062" w:type="pct"/>
            <w:noWrap w:val="0"/>
            <w:vAlign w:val="center"/>
          </w:tcPr>
          <w:p>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pct"/>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rPr>
              <w:t>20</w:t>
            </w:r>
            <w:r>
              <w:rPr>
                <w:rFonts w:hint="default" w:ascii="Times New Roman" w:hAnsi="Times New Roman" w:eastAsia="仿宋" w:cs="Times New Roman"/>
                <w:sz w:val="24"/>
                <w:szCs w:val="24"/>
                <w:highlight w:val="none"/>
                <w:lang w:val="en-US" w:eastAsia="zh-CN"/>
              </w:rPr>
              <w:t>20</w:t>
            </w:r>
            <w:r>
              <w:rPr>
                <w:rFonts w:hint="default" w:ascii="Times New Roman" w:hAnsi="Times New Roman" w:eastAsia="仿宋" w:cs="Times New Roman"/>
                <w:sz w:val="24"/>
                <w:szCs w:val="24"/>
                <w:highlight w:val="none"/>
              </w:rPr>
              <w:t>年</w:t>
            </w:r>
          </w:p>
        </w:tc>
        <w:tc>
          <w:tcPr>
            <w:tcW w:w="764" w:type="pct"/>
            <w:noWrap w:val="0"/>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63</w:t>
            </w:r>
          </w:p>
        </w:tc>
        <w:tc>
          <w:tcPr>
            <w:tcW w:w="917" w:type="pct"/>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22</w:t>
            </w:r>
          </w:p>
        </w:tc>
        <w:tc>
          <w:tcPr>
            <w:tcW w:w="917" w:type="pct"/>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1</w:t>
            </w:r>
          </w:p>
        </w:tc>
        <w:tc>
          <w:tcPr>
            <w:tcW w:w="764" w:type="pct"/>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37</w:t>
            </w:r>
          </w:p>
        </w:tc>
        <w:tc>
          <w:tcPr>
            <w:tcW w:w="1062" w:type="pct"/>
            <w:noWrap w:val="0"/>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pct"/>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2021年</w:t>
            </w:r>
          </w:p>
        </w:tc>
        <w:tc>
          <w:tcPr>
            <w:tcW w:w="1311" w:type="dxa"/>
            <w:noWrap w:val="0"/>
            <w:vAlign w:val="center"/>
          </w:tcPr>
          <w:p>
            <w:pPr>
              <w:jc w:val="center"/>
              <w:rPr>
                <w:rFonts w:hint="default" w:ascii="Times New Roman" w:hAnsi="Times New Roman" w:eastAsia="仿宋" w:cs="Times New Roman"/>
                <w:kern w:val="2"/>
                <w:sz w:val="18"/>
                <w:szCs w:val="18"/>
                <w:highlight w:val="none"/>
                <w:lang w:val="en-US" w:eastAsia="zh-CN" w:bidi="ar-SA"/>
              </w:rPr>
            </w:pPr>
            <w:r>
              <w:rPr>
                <w:rFonts w:ascii="Times New Roman" w:hAnsi="Times New Roman" w:eastAsia="仿宋" w:cs="Times New Roman"/>
                <w:sz w:val="24"/>
                <w:szCs w:val="24"/>
              </w:rPr>
              <w:t>65</w:t>
            </w:r>
          </w:p>
        </w:tc>
        <w:tc>
          <w:tcPr>
            <w:tcW w:w="1574" w:type="dxa"/>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0</w:t>
            </w:r>
          </w:p>
        </w:tc>
        <w:tc>
          <w:tcPr>
            <w:tcW w:w="1575" w:type="dxa"/>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rPr>
              <w:t>0</w:t>
            </w:r>
          </w:p>
        </w:tc>
        <w:tc>
          <w:tcPr>
            <w:tcW w:w="1312" w:type="dxa"/>
            <w:noWrap/>
            <w:vAlign w:val="center"/>
          </w:tcPr>
          <w:p>
            <w:pPr>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2</w:t>
            </w:r>
          </w:p>
        </w:tc>
        <w:tc>
          <w:tcPr>
            <w:tcW w:w="1824" w:type="dxa"/>
            <w:noWrap w:val="0"/>
            <w:vAlign w:val="center"/>
          </w:tcPr>
          <w:p>
            <w:pPr>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lang w:val="en-US" w:eastAsia="zh-CN"/>
              </w:rPr>
              <w:t>1</w:t>
            </w: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6"/>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30"/>
        <w:gridCol w:w="1850"/>
        <w:gridCol w:w="2752"/>
        <w:gridCol w:w="608"/>
        <w:gridCol w:w="81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类别</w:t>
            </w: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序号</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项目名称</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所获奖励或</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支持名称</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时间</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等级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32" w:type="dxa"/>
            <w:vMerge w:val="restart"/>
            <w:tcMar>
              <w:left w:w="28" w:type="dxa"/>
              <w:right w:w="28" w:type="dxa"/>
            </w:tcMar>
            <w:vAlign w:val="center"/>
          </w:tcPr>
          <w:p>
            <w:pP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教学成果奖</w:t>
            </w:r>
          </w:p>
          <w:p>
            <w:pP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仿宋" w:hAnsi="仿宋" w:eastAsia="仿宋"/>
                <w:color w:val="auto"/>
                <w:sz w:val="20"/>
                <w:szCs w:val="20"/>
                <w:shd w:val="clear" w:color="auto" w:fill="FFFFFF"/>
              </w:rPr>
              <w:t>立德树人、特色引领、多方协同——食品质量与安全专业双创型人才培养模式构建</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石河子大学教学成果二等奖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校级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石河子大学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基于工程教育理念的“1-2-3-6链式”食品创新人才培养模式的探索与实践</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石河子大学教学成果二等奖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校级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石河子大学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2" w:type="dxa"/>
            <w:vMerge w:val="restart"/>
            <w:tcMar>
              <w:left w:w="28" w:type="dxa"/>
              <w:right w:w="28" w:type="dxa"/>
            </w:tcMar>
            <w:vAlign w:val="center"/>
          </w:tcPr>
          <w:p>
            <w:pP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教学团队</w:t>
            </w:r>
            <w:r>
              <w:rPr>
                <w:rFonts w:hint="eastAsia" w:ascii="Times New Roman" w:hAnsi="Times New Roman" w:eastAsia="仿宋" w:cs="Times New Roman"/>
                <w:color w:val="auto"/>
                <w:szCs w:val="21"/>
              </w:rPr>
              <w:t>建设</w:t>
            </w:r>
          </w:p>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《果蔬储藏加工学》教学团队</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优秀教学团队（2008年至今）</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新疆特色食品发酵工程创新团队</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兵团重点领域创新团队</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新疆生产建设兵团科学技局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新疆特色益生菌资源与乳品技术产业化创新团队</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兵团重点领域创新团队</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新疆生产建设兵团科学技局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新疆甜瓜保鲜及加工新技术与装备</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兵团科技进步二等奖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5</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新疆特色果蔬深加工及副产物高值化利用关键技术</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产学研合作创新成果奖优秀奖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中国产学研合作促进会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卢士玲</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宝钢优秀教师</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w:t>
            </w:r>
            <w:r>
              <w:rPr>
                <w:rFonts w:hint="eastAsia" w:ascii="Times New Roman" w:hAnsi="Times New Roman" w:eastAsia="仿宋" w:cs="Times New Roman"/>
                <w:color w:val="auto"/>
                <w:szCs w:val="21"/>
              </w:rPr>
              <w:t>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宝钢教育基金会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7</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陈计峦</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兵团英才</w:t>
            </w:r>
            <w:r>
              <w:rPr>
                <w:rFonts w:hint="eastAsia" w:ascii="Times New Roman" w:hAnsi="Times New Roman" w:eastAsia="仿宋" w:cs="Times New Roman"/>
                <w:color w:val="auto"/>
                <w:szCs w:val="21"/>
              </w:rPr>
              <w:t>（</w:t>
            </w:r>
            <w:r>
              <w:rPr>
                <w:rFonts w:ascii="Times New Roman" w:hAnsi="Times New Roman" w:eastAsia="仿宋" w:cs="Times New Roman"/>
                <w:color w:val="auto"/>
                <w:szCs w:val="21"/>
              </w:rPr>
              <w:t>2014</w:t>
            </w:r>
            <w:r>
              <w:rPr>
                <w:rFonts w:hint="eastAsia" w:ascii="Times New Roman" w:hAnsi="Times New Roman" w:eastAsia="仿宋" w:cs="Times New Roman"/>
                <w:color w:val="auto"/>
                <w:szCs w:val="21"/>
              </w:rPr>
              <w:t>年</w:t>
            </w:r>
          </w:p>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至今）</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bookmarkStart w:id="1" w:name="_GoBack"/>
            <w:bookmarkEnd w:id="1"/>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9</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孙凤霞</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w:t>
            </w:r>
            <w:r>
              <w:rPr>
                <w:rFonts w:hint="eastAsia" w:ascii="Times New Roman" w:hAnsi="Times New Roman" w:eastAsia="仿宋" w:cs="Times New Roman"/>
                <w:color w:val="auto"/>
                <w:szCs w:val="21"/>
              </w:rPr>
              <w:t>中青年领军人才</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w:t>
            </w:r>
            <w:r>
              <w:rPr>
                <w:rFonts w:hint="eastAsia" w:ascii="Times New Roman" w:hAnsi="Times New Roman" w:eastAsia="仿宋" w:cs="Times New Roman"/>
                <w:color w:val="auto"/>
                <w:szCs w:val="21"/>
              </w:rPr>
              <w:t>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10</w:t>
            </w:r>
          </w:p>
        </w:tc>
        <w:tc>
          <w:tcPr>
            <w:tcW w:w="185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 w:val="21"/>
                <w:szCs w:val="21"/>
              </w:rPr>
              <w:t>魏长庆</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color w:val="auto"/>
                <w:sz w:val="21"/>
                <w:szCs w:val="21"/>
              </w:rPr>
              <w:t>兵团</w:t>
            </w:r>
            <w:r>
              <w:rPr>
                <w:rFonts w:hint="eastAsia" w:ascii="Times New Roman" w:hAnsi="Times New Roman" w:eastAsia="仿宋" w:cs="Times New Roman"/>
                <w:color w:val="auto"/>
                <w:sz w:val="21"/>
                <w:szCs w:val="21"/>
              </w:rPr>
              <w:t>中青年领军人才</w:t>
            </w:r>
          </w:p>
        </w:tc>
        <w:tc>
          <w:tcPr>
            <w:tcW w:w="608"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 w:val="21"/>
                <w:szCs w:val="21"/>
              </w:rPr>
              <w:t>20</w:t>
            </w:r>
            <w:r>
              <w:rPr>
                <w:rFonts w:hint="eastAsia"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color w:val="auto"/>
                <w:sz w:val="21"/>
                <w:szCs w:val="21"/>
              </w:rPr>
              <w:t>省部级</w:t>
            </w:r>
          </w:p>
        </w:tc>
        <w:tc>
          <w:tcPr>
            <w:tcW w:w="1291"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 w:val="21"/>
                <w:szCs w:val="21"/>
              </w:rPr>
              <w:t>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11</w:t>
            </w:r>
          </w:p>
        </w:tc>
        <w:tc>
          <w:tcPr>
            <w:tcW w:w="1850" w:type="dxa"/>
            <w:tcMar>
              <w:left w:w="28" w:type="dxa"/>
              <w:right w:w="28" w:type="dxa"/>
            </w:tcMar>
            <w:vAlign w:val="center"/>
          </w:tcPr>
          <w:p>
            <w:pPr>
              <w:jc w:val="center"/>
              <w:rPr>
                <w:rFonts w:hint="eastAsia"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董娟</w:t>
            </w:r>
          </w:p>
        </w:tc>
        <w:tc>
          <w:tcPr>
            <w:tcW w:w="2752" w:type="dxa"/>
            <w:tcMar>
              <w:left w:w="28" w:type="dxa"/>
              <w:right w:w="28" w:type="dxa"/>
            </w:tcMar>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兵团优秀青年教师</w:t>
            </w:r>
          </w:p>
        </w:tc>
        <w:tc>
          <w:tcPr>
            <w:tcW w:w="608" w:type="dxa"/>
            <w:tcMar>
              <w:left w:w="28" w:type="dxa"/>
              <w:right w:w="28" w:type="dxa"/>
            </w:tcMar>
            <w:vAlign w:val="center"/>
          </w:tcPr>
          <w:p>
            <w:pPr>
              <w:jc w:val="center"/>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201</w:t>
            </w:r>
            <w:r>
              <w:rPr>
                <w:rFonts w:hint="eastAsia" w:ascii="Times New Roman" w:hAnsi="Times New Roman" w:eastAsia="仿宋" w:cs="Times New Roman"/>
                <w:color w:val="auto"/>
                <w:sz w:val="21"/>
                <w:szCs w:val="21"/>
                <w:lang w:val="en-US" w:eastAsia="zh-CN"/>
              </w:rPr>
              <w:t>9</w:t>
            </w:r>
          </w:p>
        </w:tc>
        <w:tc>
          <w:tcPr>
            <w:tcW w:w="813" w:type="dxa"/>
            <w:tcMar>
              <w:left w:w="28" w:type="dxa"/>
              <w:right w:w="28" w:type="dxa"/>
            </w:tcMar>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省部级</w:t>
            </w:r>
          </w:p>
        </w:tc>
        <w:tc>
          <w:tcPr>
            <w:tcW w:w="1291" w:type="dxa"/>
            <w:tcMar>
              <w:left w:w="28" w:type="dxa"/>
              <w:right w:w="28" w:type="dxa"/>
            </w:tcMar>
            <w:vAlign w:val="center"/>
          </w:tcPr>
          <w:p>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新疆生产建设兵团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专业</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w:t>
            </w: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食品</w:t>
            </w:r>
            <w:r>
              <w:rPr>
                <w:rFonts w:hint="eastAsia" w:ascii="Times New Roman" w:hAnsi="Times New Roman" w:eastAsia="仿宋" w:cs="Times New Roman"/>
                <w:color w:val="auto"/>
                <w:szCs w:val="21"/>
              </w:rPr>
              <w:t>质量与安全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专业</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一流专业</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w:t>
            </w:r>
            <w:r>
              <w:rPr>
                <w:rFonts w:hint="eastAsia" w:ascii="Times New Roman" w:hAnsi="Times New Roman" w:eastAsia="仿宋" w:cs="Times New Roman"/>
                <w:color w:val="auto"/>
                <w:szCs w:val="21"/>
              </w:rPr>
              <w:t>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校</w:t>
            </w:r>
            <w:r>
              <w:rPr>
                <w:rFonts w:ascii="Times New Roman" w:hAnsi="Times New Roman" w:eastAsia="仿宋" w:cs="Times New Roman"/>
                <w:color w:val="auto"/>
                <w:szCs w:val="21"/>
              </w:rPr>
              <w:t>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石河子大学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2" w:type="dxa"/>
            <w:tcMar>
              <w:left w:w="28" w:type="dxa"/>
              <w:right w:w="28" w:type="dxa"/>
            </w:tcMar>
            <w:vAlign w:val="center"/>
          </w:tcPr>
          <w:p>
            <w:pPr>
              <w:jc w:val="both"/>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w:t>
            </w:r>
          </w:p>
        </w:tc>
        <w:tc>
          <w:tcPr>
            <w:tcW w:w="1850"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食品工艺学</w:t>
            </w:r>
          </w:p>
        </w:tc>
        <w:tc>
          <w:tcPr>
            <w:tcW w:w="2752"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国家虚拟教研室（参与）</w:t>
            </w:r>
          </w:p>
        </w:tc>
        <w:tc>
          <w:tcPr>
            <w:tcW w:w="608"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2022</w:t>
            </w:r>
          </w:p>
        </w:tc>
        <w:tc>
          <w:tcPr>
            <w:tcW w:w="813" w:type="dxa"/>
            <w:tcMar>
              <w:left w:w="28" w:type="dxa"/>
              <w:right w:w="28" w:type="dxa"/>
            </w:tcMar>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国家级</w:t>
            </w:r>
          </w:p>
        </w:tc>
        <w:tc>
          <w:tcPr>
            <w:tcW w:w="1291"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restart"/>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课程</w:t>
            </w:r>
          </w:p>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建设</w:t>
            </w: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食品分析</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兵团一流课程</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w:t>
            </w:r>
            <w:r>
              <w:rPr>
                <w:rFonts w:hint="eastAsia" w:ascii="Times New Roman" w:hAnsi="Times New Roman" w:eastAsia="仿宋" w:cs="Times New Roman"/>
                <w:color w:val="auto"/>
                <w:szCs w:val="21"/>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auto"/>
                <w:szCs w:val="21"/>
              </w:rPr>
            </w:pPr>
            <w:r>
              <w:rPr>
                <w:rFonts w:ascii="Times New Roman" w:hAnsi="Times New Roman" w:eastAsia="仿宋" w:cs="Times New Roman"/>
                <w:color w:val="auto"/>
                <w:szCs w:val="21"/>
              </w:rPr>
              <w:t>新疆</w:t>
            </w:r>
            <w:r>
              <w:rPr>
                <w:rFonts w:hint="eastAsia" w:ascii="Times New Roman" w:hAnsi="Times New Roman" w:eastAsia="仿宋" w:cs="Times New Roman"/>
                <w:color w:val="auto"/>
                <w:szCs w:val="21"/>
              </w:rPr>
              <w:t>生产建设兵团教育局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3</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食品工艺学</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兵团一流课程</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w:t>
            </w:r>
            <w:r>
              <w:rPr>
                <w:rFonts w:hint="eastAsia" w:ascii="Times New Roman" w:hAnsi="Times New Roman" w:eastAsia="仿宋" w:cs="Times New Roman"/>
                <w:color w:val="auto"/>
                <w:szCs w:val="21"/>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auto"/>
                <w:szCs w:val="21"/>
              </w:rPr>
            </w:pPr>
            <w:r>
              <w:rPr>
                <w:rFonts w:ascii="Times New Roman" w:hAnsi="Times New Roman" w:eastAsia="仿宋" w:cs="Times New Roman"/>
                <w:color w:val="auto"/>
                <w:szCs w:val="21"/>
              </w:rPr>
              <w:t>新疆</w:t>
            </w:r>
            <w:r>
              <w:rPr>
                <w:rFonts w:hint="eastAsia" w:ascii="Times New Roman" w:hAnsi="Times New Roman" w:eastAsia="仿宋" w:cs="Times New Roman"/>
                <w:color w:val="auto"/>
                <w:szCs w:val="21"/>
              </w:rPr>
              <w:t>生产建设兵团教育局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果蔬加工贮运学</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兵团一流课程</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auto"/>
                <w:szCs w:val="21"/>
              </w:rPr>
            </w:pPr>
            <w:r>
              <w:rPr>
                <w:rFonts w:ascii="Times New Roman" w:hAnsi="Times New Roman" w:eastAsia="仿宋" w:cs="Times New Roman"/>
                <w:color w:val="auto"/>
                <w:szCs w:val="21"/>
              </w:rPr>
              <w:t>新疆</w:t>
            </w:r>
            <w:r>
              <w:rPr>
                <w:rFonts w:hint="eastAsia" w:ascii="Times New Roman" w:hAnsi="Times New Roman" w:eastAsia="仿宋" w:cs="Times New Roman"/>
                <w:color w:val="auto"/>
                <w:szCs w:val="21"/>
              </w:rPr>
              <w:t>生产建设兵团教育局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2" w:type="dxa"/>
            <w:vMerge w:val="restart"/>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教材</w:t>
            </w:r>
          </w:p>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建设</w:t>
            </w: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p>
        </w:tc>
        <w:tc>
          <w:tcPr>
            <w:tcW w:w="1850"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食品安全学</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普通高等教育“十三五”规划教材</w:t>
            </w:r>
          </w:p>
        </w:tc>
        <w:tc>
          <w:tcPr>
            <w:tcW w:w="608" w:type="dxa"/>
            <w:tcMar>
              <w:left w:w="28" w:type="dxa"/>
              <w:right w:w="28" w:type="dxa"/>
            </w:tcMar>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2021</w:t>
            </w:r>
          </w:p>
        </w:tc>
        <w:tc>
          <w:tcPr>
            <w:tcW w:w="813" w:type="dxa"/>
            <w:tcMar>
              <w:left w:w="28" w:type="dxa"/>
              <w:right w:w="28" w:type="dxa"/>
            </w:tcMar>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国家级</w:t>
            </w:r>
          </w:p>
        </w:tc>
        <w:tc>
          <w:tcPr>
            <w:tcW w:w="129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auto"/>
                <w:szCs w:val="21"/>
              </w:rPr>
            </w:pPr>
            <w:r>
              <w:rPr>
                <w:rFonts w:hint="eastAsia" w:ascii="Times New Roman" w:hAnsi="Times New Roman" w:eastAsia="仿宋" w:cs="Times New Roman"/>
                <w:color w:val="auto"/>
                <w:szCs w:val="21"/>
              </w:rPr>
              <w:t>华中科技大学出版社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w:t>
            </w:r>
          </w:p>
        </w:tc>
        <w:tc>
          <w:tcPr>
            <w:tcW w:w="1850"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szCs w:val="21"/>
              </w:rPr>
              <w:t>食品安全风险分析微生物危害评估</w:t>
            </w:r>
          </w:p>
        </w:tc>
        <w:tc>
          <w:tcPr>
            <w:tcW w:w="2752" w:type="dxa"/>
            <w:tcMar>
              <w:left w:w="28" w:type="dxa"/>
              <w:right w:w="28" w:type="dxa"/>
            </w:tcMar>
            <w:vAlign w:val="center"/>
          </w:tcPr>
          <w:p>
            <w:pPr>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“十三五”国家重点图书出版规划教材</w:t>
            </w:r>
          </w:p>
        </w:tc>
        <w:tc>
          <w:tcPr>
            <w:tcW w:w="608" w:type="dxa"/>
            <w:tcMar>
              <w:left w:w="28" w:type="dxa"/>
              <w:right w:w="28" w:type="dxa"/>
            </w:tcMar>
            <w:vAlign w:val="center"/>
          </w:tcPr>
          <w:p>
            <w:pPr>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szCs w:val="21"/>
              </w:rPr>
              <w:t>中国标准出版社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3</w:t>
            </w:r>
          </w:p>
        </w:tc>
        <w:tc>
          <w:tcPr>
            <w:tcW w:w="1850"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szCs w:val="21"/>
              </w:rPr>
              <w:t>食品质量控制与分析检测技术研究</w:t>
            </w:r>
          </w:p>
        </w:tc>
        <w:tc>
          <w:tcPr>
            <w:tcW w:w="2752" w:type="dxa"/>
            <w:tcMar>
              <w:left w:w="28" w:type="dxa"/>
              <w:right w:w="28" w:type="dxa"/>
            </w:tcMar>
            <w:vAlign w:val="center"/>
          </w:tcPr>
          <w:p>
            <w:pPr>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公开出版</w:t>
            </w:r>
          </w:p>
        </w:tc>
        <w:tc>
          <w:tcPr>
            <w:tcW w:w="608" w:type="dxa"/>
            <w:tcMar>
              <w:left w:w="28" w:type="dxa"/>
              <w:right w:w="28" w:type="dxa"/>
            </w:tcMar>
            <w:vAlign w:val="center"/>
          </w:tcPr>
          <w:p>
            <w:pPr>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szCs w:val="21"/>
              </w:rPr>
              <w:t>西北工业大学出版社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食品营养与安全</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普通高等教育“十三五”规划教材</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黄河水利出版社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restart"/>
            <w:tcMar>
              <w:left w:w="28" w:type="dxa"/>
              <w:right w:w="28" w:type="dxa"/>
            </w:tcMar>
            <w:vAlign w:val="center"/>
          </w:tcPr>
          <w:p>
            <w:pPr>
              <w:jc w:val="center"/>
              <w:rPr>
                <w:rFonts w:ascii="Times New Roman" w:hAnsi="Times New Roman" w:eastAsia="仿宋" w:cs="Times New Roman"/>
                <w:color w:val="auto"/>
                <w:szCs w:val="21"/>
              </w:rPr>
            </w:pPr>
          </w:p>
          <w:p>
            <w:pP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实验和实践</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教学平台</w:t>
            </w: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特色农产品加工与质量安全控制重点实验室</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重点实验室</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022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国家</w:t>
            </w:r>
            <w:r>
              <w:rPr>
                <w:rFonts w:hint="eastAsia" w:ascii="Times New Roman" w:hAnsi="Times New Roman" w:eastAsia="仿宋" w:cs="Times New Roman"/>
                <w:color w:val="auto"/>
                <w:szCs w:val="21"/>
              </w:rPr>
              <w:t>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食品营养与安全控制兵团重点实验室</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重点实验室</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022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新疆生产建设兵团科技局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农产品加工工程重点实验室</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重点实验室（2012年至今）</w:t>
            </w:r>
          </w:p>
        </w:tc>
        <w:tc>
          <w:tcPr>
            <w:tcW w:w="608"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ascii="Times New Roman" w:hAnsi="Times New Roman" w:eastAsia="仿宋" w:cs="Times New Roman"/>
                <w:color w:val="auto"/>
                <w:szCs w:val="21"/>
              </w:rPr>
              <w:t>202</w:t>
            </w:r>
            <w:r>
              <w:rPr>
                <w:rFonts w:hint="eastAsia" w:ascii="Times New Roman" w:hAnsi="Times New Roman" w:eastAsia="仿宋" w:cs="Times New Roman"/>
                <w:color w:val="auto"/>
                <w:szCs w:val="21"/>
                <w:lang w:val="en-US" w:eastAsia="zh-CN"/>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特色果蔬国家地方联合工程研究中心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工程研究中心（2010年至今）</w:t>
            </w:r>
          </w:p>
        </w:tc>
        <w:tc>
          <w:tcPr>
            <w:tcW w:w="608"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ascii="Times New Roman" w:hAnsi="Times New Roman" w:eastAsia="仿宋" w:cs="Times New Roman"/>
                <w:color w:val="auto"/>
                <w:szCs w:val="21"/>
              </w:rPr>
              <w:t>202</w:t>
            </w:r>
            <w:r>
              <w:rPr>
                <w:rFonts w:hint="eastAsia" w:ascii="Times New Roman" w:hAnsi="Times New Roman" w:eastAsia="仿宋" w:cs="Times New Roman"/>
                <w:color w:val="auto"/>
                <w:szCs w:val="21"/>
                <w:lang w:val="en-US" w:eastAsia="zh-CN"/>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新疆兵团特色果蔬菜工程技术中心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工程技术研究中心</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新疆生产建设兵团科技局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新疆特色果蔬贮藏加工教育部中心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教育部工程技术研究中心</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7</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新疆植物药新药及功能食品开发中心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教育部省部共建重点实验室分中心</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8</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兵团南疆农副产品精深加工工程技术研究中心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兵团工程技术研究中心</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新疆生产建设兵团科技局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9</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食品科学与工程实验教学中心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自治区级实验教学示范中心</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10</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新疆雨润食品有限公司</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自治区产学研联合培养研究生示范基地</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新疆冠农果茸集团股份有限公司</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自治区产学研联合培养研究生示范基地</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32" w:type="dxa"/>
            <w:vMerge w:val="restart"/>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教学改革</w:t>
            </w:r>
            <w:r>
              <w:rPr>
                <w:rFonts w:hint="eastAsia" w:ascii="Times New Roman" w:hAnsi="Times New Roman" w:eastAsia="仿宋" w:cs="Times New Roman"/>
                <w:color w:val="auto"/>
                <w:szCs w:val="21"/>
                <w:lang w:val="en-US" w:eastAsia="zh-CN"/>
              </w:rPr>
              <w:t>项</w:t>
            </w:r>
            <w:r>
              <w:rPr>
                <w:rFonts w:ascii="Times New Roman" w:hAnsi="Times New Roman" w:eastAsia="仿宋" w:cs="Times New Roman"/>
                <w:color w:val="auto"/>
                <w:szCs w:val="21"/>
              </w:rPr>
              <w:t>目</w:t>
            </w: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畜产食品工艺学慕课的改革</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教学改革项目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p>
        </w:tc>
        <w:tc>
          <w:tcPr>
            <w:tcW w:w="1850"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以社会服务为导向，构建应用型人才培养的《食品安全学》课程教学体系研究</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兵团高等学校优秀青年教师培养项目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201</w:t>
            </w:r>
            <w:r>
              <w:rPr>
                <w:rFonts w:ascii="Times New Roman" w:hAnsi="Times New Roman" w:eastAsia="仿宋" w:cs="Times New Roman"/>
                <w:color w:val="auto"/>
                <w:szCs w:val="21"/>
              </w:rPr>
              <w:t>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32" w:type="dxa"/>
            <w:vMerge w:val="restart"/>
            <w:tcMar>
              <w:left w:w="28" w:type="dxa"/>
              <w:right w:w="28" w:type="dxa"/>
            </w:tcMar>
            <w:vAlign w:val="center"/>
          </w:tcPr>
          <w:p>
            <w:pPr>
              <w:jc w:val="center"/>
              <w:rPr>
                <w:rFonts w:ascii="Times New Roman" w:hAnsi="Times New Roman" w:eastAsia="仿宋" w:cs="Times New Roman"/>
                <w:color w:val="auto"/>
                <w:szCs w:val="21"/>
              </w:rPr>
            </w:pPr>
          </w:p>
          <w:p>
            <w:pPr>
              <w:jc w:val="both"/>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其他</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（限50项）</w:t>
            </w: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jc w:val="center"/>
              <w:rPr>
                <w:rFonts w:ascii="Times New Roman" w:hAnsi="Times New Roman" w:eastAsia="仿宋" w:cs="Times New Roman"/>
                <w:color w:val="auto"/>
                <w:szCs w:val="21"/>
              </w:rPr>
            </w:pPr>
          </w:p>
          <w:p>
            <w:pP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新疆伊宁维吾尔族、哈萨克族学龄儿童肠道乳杆菌多样性比较</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产类胡萝卜素酵母菌制剂的研究</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w:t>
            </w:r>
            <w:r>
              <w:rPr>
                <w:rFonts w:ascii="Times New Roman" w:hAnsi="Times New Roman" w:eastAsia="仿宋" w:cs="Times New Roman"/>
                <w:color w:val="auto"/>
                <w:szCs w:val="21"/>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ω-3富集蛋——争做国内高端蛋品领跑者</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w:t>
            </w:r>
            <w:r>
              <w:rPr>
                <w:rFonts w:ascii="Times New Roman" w:hAnsi="Times New Roman" w:eastAsia="仿宋" w:cs="Times New Roman"/>
                <w:color w:val="auto"/>
                <w:szCs w:val="21"/>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新疆地区民族乳品中酸乳发酵剂的选育及其高密度培养技术</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w:t>
            </w:r>
            <w:r>
              <w:rPr>
                <w:rFonts w:ascii="Times New Roman" w:hAnsi="Times New Roman" w:eastAsia="仿宋" w:cs="Times New Roman"/>
                <w:color w:val="auto"/>
                <w:szCs w:val="21"/>
              </w:rPr>
              <w:t>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5</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酵母细胞表面展示低温乳糖酶水解牛乳乳糖的研究</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6</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苹果多酚-壳聚糖复合膜对冷却牛肉品质影响研究</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7</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羊肚菌多糖分离提取及抗氧化活性研究</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国家级大学生创新创业训练计划项目</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w:t>
            </w:r>
            <w:r>
              <w:rPr>
                <w:rFonts w:hint="eastAsia" w:ascii="Times New Roman" w:hAnsi="Times New Roman" w:eastAsia="仿宋" w:cs="Times New Roman"/>
                <w:color w:val="auto"/>
                <w:szCs w:val="21"/>
              </w:rPr>
              <w:t>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8</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物理竞赛（秦琰博）</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第四届新疆大学生物理学术竞赛特等奖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r>
              <w:rPr>
                <w:rFonts w:hint="eastAsia" w:ascii="Times New Roman" w:hAnsi="Times New Roman" w:eastAsia="仿宋" w:cs="Times New Roman"/>
                <w:color w:val="auto"/>
                <w:szCs w:val="21"/>
              </w:rPr>
              <w:tab/>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新疆物理学会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9</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数学建模竞赛</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（三等奖）</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全国大学生数学建模竞赛新疆赛区</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w:t>
            </w:r>
            <w:r>
              <w:rPr>
                <w:rFonts w:hint="eastAsia" w:ascii="Times New Roman" w:hAnsi="Times New Roman" w:eastAsia="仿宋" w:cs="Times New Roman"/>
                <w:color w:val="auto"/>
                <w:szCs w:val="21"/>
              </w:rPr>
              <w:t>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中国工业与应用数学学会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10</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数学建模竞赛</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（三等奖）</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全国大学生数学建模竞赛新疆赛区</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auto"/>
                <w:szCs w:val="21"/>
              </w:rPr>
            </w:pPr>
            <w:r>
              <w:rPr>
                <w:rFonts w:ascii="Times New Roman" w:hAnsi="Times New Roman" w:eastAsia="仿宋" w:cs="Times New Roman"/>
                <w:color w:val="auto"/>
                <w:szCs w:val="21"/>
              </w:rPr>
              <w:t>中国工业与应用数学学会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数学建模竞赛</w:t>
            </w:r>
          </w:p>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（二等奖）</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美国大学生数学建模竞赛</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auto"/>
                <w:szCs w:val="21"/>
              </w:rPr>
            </w:pPr>
            <w:r>
              <w:rPr>
                <w:rFonts w:ascii="Times New Roman" w:hAnsi="Times New Roman" w:eastAsia="仿宋" w:cs="Times New Roman"/>
                <w:color w:val="auto"/>
                <w:szCs w:val="21"/>
              </w:rPr>
              <w:t>美国数学及其应用联合会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r>
              <w:rPr>
                <w:rFonts w:ascii="Times New Roman" w:hAnsi="Times New Roman" w:eastAsia="仿宋" w:cs="Times New Roman"/>
                <w:color w:val="auto"/>
                <w:szCs w:val="21"/>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数学竞赛（秦琰博）</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数学竞赛一等奖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中国数学会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r>
              <w:rPr>
                <w:rFonts w:ascii="Times New Roman" w:hAnsi="Times New Roman" w:eastAsia="仿宋" w:cs="Times New Roman"/>
                <w:color w:val="auto"/>
                <w:szCs w:val="21"/>
              </w:rPr>
              <w:t>3</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数学竞赛（秦琰博）</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华教杯全国大学生数学竞赛三等奖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r>
              <w:rPr>
                <w:rFonts w:ascii="Times New Roman" w:hAnsi="Times New Roman" w:eastAsia="仿宋" w:cs="Times New Roman"/>
                <w:color w:val="auto"/>
                <w:szCs w:val="21"/>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数学竞赛（都玉玉）</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全国大学生数学竞赛二等奖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中国数学会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r>
              <w:rPr>
                <w:rFonts w:ascii="Times New Roman" w:hAnsi="Times New Roman" w:eastAsia="仿宋" w:cs="Times New Roman"/>
                <w:color w:val="auto"/>
                <w:szCs w:val="21"/>
              </w:rPr>
              <w:t>5</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数学竞赛（李爱国）</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全国大学生数学竞赛（新疆赛区）一等奖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w:t>
            </w:r>
            <w:r>
              <w:rPr>
                <w:rFonts w:ascii="Times New Roman" w:hAnsi="Times New Roman" w:eastAsia="仿宋" w:cs="Times New Roman"/>
                <w:color w:val="auto"/>
                <w:szCs w:val="21"/>
              </w:rPr>
              <w:t>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r>
              <w:rPr>
                <w:rFonts w:ascii="Times New Roman" w:hAnsi="Times New Roman" w:eastAsia="仿宋" w:cs="Times New Roman"/>
                <w:color w:val="auto"/>
                <w:szCs w:val="21"/>
              </w:rPr>
              <w:t>6</w:t>
            </w:r>
          </w:p>
        </w:tc>
        <w:tc>
          <w:tcPr>
            <w:tcW w:w="1850"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数学竞赛（赵谋）</w:t>
            </w:r>
          </w:p>
        </w:tc>
        <w:tc>
          <w:tcPr>
            <w:tcW w:w="2752"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全国大学生数学竞赛（新疆赛区）一等奖</w:t>
            </w:r>
          </w:p>
        </w:tc>
        <w:tc>
          <w:tcPr>
            <w:tcW w:w="608"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17</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英语竞赛（朱琬婷）</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全国大学生英语竞赛一等奖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18</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英语竞赛（宋佳敏）</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全国大学生英语竞赛三等奖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19</w:t>
            </w:r>
          </w:p>
        </w:tc>
        <w:tc>
          <w:tcPr>
            <w:tcW w:w="185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英语竞赛（刘逸超）</w:t>
            </w:r>
          </w:p>
        </w:tc>
        <w:tc>
          <w:tcPr>
            <w:tcW w:w="2752"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r>
              <w:rPr>
                <w:rFonts w:hint="eastAsia" w:ascii="Times New Roman" w:hAnsi="Times New Roman" w:eastAsia="仿宋" w:cs="Times New Roman"/>
                <w:color w:val="auto"/>
                <w:szCs w:val="21"/>
              </w:rPr>
              <w:t>0</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英语竞赛（马雪莲）</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全国大学生英语竞赛国家三等奖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r>
              <w:rPr>
                <w:rFonts w:hint="eastAsia"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英语竞赛（李辉）</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全国大学生英语竞赛自治区二等奖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rPr>
            </w:pPr>
            <w:r>
              <w:rPr>
                <w:rFonts w:ascii="Times New Roman" w:hAnsi="Times New Roman" w:eastAsia="仿宋" w:cs="Times New Roman"/>
                <w:color w:val="auto"/>
                <w:szCs w:val="21"/>
              </w:rPr>
              <w:t>2</w:t>
            </w:r>
            <w:r>
              <w:rPr>
                <w:rFonts w:hint="eastAsia" w:ascii="Times New Roman" w:hAnsi="Times New Roman" w:eastAsia="仿宋" w:cs="Times New Roman"/>
                <w:color w:val="auto"/>
                <w:szCs w:val="21"/>
              </w:rPr>
              <w:t>2</w:t>
            </w:r>
          </w:p>
        </w:tc>
        <w:tc>
          <w:tcPr>
            <w:tcW w:w="185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英语竞赛（祁娴）</w:t>
            </w:r>
          </w:p>
        </w:tc>
        <w:tc>
          <w:tcPr>
            <w:tcW w:w="2752"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全国大学生英语竞赛自治区二等奖</w:t>
            </w:r>
          </w:p>
        </w:tc>
        <w:tc>
          <w:tcPr>
            <w:tcW w:w="608"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rPr>
            </w:pPr>
            <w:r>
              <w:rPr>
                <w:rFonts w:ascii="Times New Roman" w:hAnsi="Times New Roman" w:eastAsia="仿宋" w:cs="Times New Roman"/>
                <w:color w:val="auto"/>
                <w:szCs w:val="21"/>
              </w:rPr>
              <w:t>23</w:t>
            </w:r>
          </w:p>
        </w:tc>
        <w:tc>
          <w:tcPr>
            <w:tcW w:w="185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英语竞赛（王翔）</w:t>
            </w:r>
          </w:p>
        </w:tc>
        <w:tc>
          <w:tcPr>
            <w:tcW w:w="2752"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全国大学生英语竞赛自治区三等奖</w:t>
            </w:r>
          </w:p>
        </w:tc>
        <w:tc>
          <w:tcPr>
            <w:tcW w:w="608"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英语竞赛（艾延文）</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全国大学生英语竞赛</w:t>
            </w:r>
            <w:r>
              <w:rPr>
                <w:rFonts w:ascii="Times New Roman" w:hAnsi="Times New Roman" w:eastAsia="仿宋" w:cs="Times New Roman"/>
                <w:color w:val="auto"/>
                <w:szCs w:val="21"/>
              </w:rPr>
              <w:t>自治区</w:t>
            </w:r>
            <w:r>
              <w:rPr>
                <w:rFonts w:hint="eastAsia" w:ascii="Times New Roman" w:hAnsi="Times New Roman" w:eastAsia="仿宋" w:cs="Times New Roman"/>
                <w:color w:val="auto"/>
                <w:szCs w:val="21"/>
              </w:rPr>
              <w:t>三等奖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5</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英语竞赛（周燕）</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w:t>
            </w:r>
            <w:r>
              <w:rPr>
                <w:rFonts w:hint="eastAsia" w:ascii="Times New Roman" w:hAnsi="Times New Roman" w:eastAsia="仿宋" w:cs="Times New Roman"/>
                <w:color w:val="auto"/>
                <w:szCs w:val="21"/>
              </w:rPr>
              <w:t>大学生英语竞赛二等奖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6</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英语竞赛（黄毅飞）</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w:t>
            </w:r>
            <w:r>
              <w:rPr>
                <w:rFonts w:hint="eastAsia" w:ascii="Times New Roman" w:hAnsi="Times New Roman" w:eastAsia="仿宋" w:cs="Times New Roman"/>
                <w:color w:val="auto"/>
                <w:szCs w:val="21"/>
              </w:rPr>
              <w:t>大学生英语竞赛三等奖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7</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英语竞赛（祁娴）</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w:t>
            </w:r>
            <w:r>
              <w:rPr>
                <w:rFonts w:hint="eastAsia" w:ascii="Times New Roman" w:hAnsi="Times New Roman" w:eastAsia="仿宋" w:cs="Times New Roman"/>
                <w:color w:val="auto"/>
                <w:szCs w:val="21"/>
              </w:rPr>
              <w:t>大学生英语竞赛三等奖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新疆维吾尔自治区教育厅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28</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“酒”得心安——做葡萄酒安全控制的领航人</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第十三届“挑战杯”兵团大学生创业计划竞赛银奖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022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兵团团委、教育局、科协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29</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一“剂”绝尘——新型促干技术助力乡村振兴</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第十三届“挑战杯”兵团大学生创业计划竞赛银奖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w:t>
            </w:r>
            <w:r>
              <w:rPr>
                <w:rFonts w:ascii="Times New Roman" w:hAnsi="Times New Roman" w:eastAsia="仿宋" w:cs="Times New Roman"/>
                <w:color w:val="auto"/>
                <w:szCs w:val="21"/>
              </w:rPr>
              <w:t>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兵团团委、教育局、科协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0</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羊肉火腿抗氧化肽活性鉴定及特性研究</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第十二届“挑战杯”兵团大学生课外学术科技作品竞赛一等奖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021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兵团团委、教育局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1</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微囊化苹果多酚对冻藏羊肉组织蛋白酶、品质及微观结构的影响</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第十二届“挑战杯”兵团大学生课外学术科技作品竞赛二等奖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2021</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兵团团委、教育局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2</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GSE/HP-β-CD对羊肚蛋白氧化的控制及超高压对其酱卤制品品质的影响</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第十一届“挑战杯”兵团大学生课外学术科技作品竞赛二等奖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兵团团委、教育局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3</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王静云指导教师</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第四届全国食品专业工程实践训练综合能力竞赛总决赛二等奖</w:t>
            </w:r>
          </w:p>
        </w:tc>
        <w:tc>
          <w:tcPr>
            <w:tcW w:w="608" w:type="dxa"/>
            <w:tcMar>
              <w:left w:w="28" w:type="dxa"/>
              <w:right w:w="28" w:type="dxa"/>
            </w:tcMar>
            <w:vAlign w:val="center"/>
          </w:tcPr>
          <w:p>
            <w:pPr>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rPr>
              <w:t>2022</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国家</w:t>
            </w:r>
            <w:r>
              <w:rPr>
                <w:rFonts w:hint="eastAsia" w:ascii="Times New Roman" w:hAnsi="Times New Roman" w:eastAsia="仿宋" w:cs="Times New Roman"/>
                <w:color w:val="auto"/>
                <w:szCs w:val="21"/>
              </w:rPr>
              <w:t>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教育部高等学校食品科学和工程类专业教学指导委员会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4</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王静云指导教师</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第四届全国食品专业工程实践训练综合能力竞赛西部赛区一等奖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2022</w:t>
            </w:r>
            <w:r>
              <w:rPr>
                <w:rFonts w:ascii="Times New Roman" w:hAnsi="Times New Roman" w:eastAsia="仿宋" w:cs="Times New Roman"/>
                <w:color w:val="auto"/>
                <w:szCs w:val="21"/>
              </w:rPr>
              <w:t xml:space="preserve"> </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国家</w:t>
            </w:r>
            <w:r>
              <w:rPr>
                <w:rFonts w:hint="eastAsia" w:ascii="Times New Roman" w:hAnsi="Times New Roman" w:eastAsia="仿宋" w:cs="Times New Roman"/>
                <w:color w:val="auto"/>
                <w:szCs w:val="21"/>
              </w:rPr>
              <w:t>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教育部高等学校食品科学和工程类专业教学指导委员会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5</w:t>
            </w:r>
          </w:p>
        </w:tc>
        <w:tc>
          <w:tcPr>
            <w:tcW w:w="1850"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王庆玲指导教师</w:t>
            </w:r>
          </w:p>
        </w:tc>
        <w:tc>
          <w:tcPr>
            <w:tcW w:w="2752"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第三届全国食品专业工程实践训练综合能力竞赛总决赛二等奖</w:t>
            </w:r>
          </w:p>
        </w:tc>
        <w:tc>
          <w:tcPr>
            <w:tcW w:w="608" w:type="dxa"/>
            <w:tcMar>
              <w:left w:w="28" w:type="dxa"/>
              <w:right w:w="28" w:type="dxa"/>
            </w:tcMar>
            <w:vAlign w:val="center"/>
          </w:tcPr>
          <w:p>
            <w:pPr>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2</w:t>
            </w:r>
            <w:r>
              <w:rPr>
                <w:rFonts w:ascii="Times New Roman" w:hAnsi="Times New Roman" w:eastAsia="仿宋" w:cs="Times New Roman"/>
                <w:color w:val="auto"/>
                <w:szCs w:val="21"/>
              </w:rPr>
              <w:t>02</w:t>
            </w:r>
            <w:r>
              <w:rPr>
                <w:rFonts w:hint="eastAsia" w:ascii="Times New Roman" w:hAnsi="Times New Roman" w:eastAsia="仿宋" w:cs="Times New Roman"/>
                <w:color w:val="auto"/>
                <w:szCs w:val="21"/>
                <w:lang w:val="en-US" w:eastAsia="zh-CN"/>
              </w:rPr>
              <w:t>1</w:t>
            </w:r>
          </w:p>
        </w:tc>
        <w:tc>
          <w:tcPr>
            <w:tcW w:w="813"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lang w:val="en-US" w:eastAsia="zh-CN"/>
              </w:rPr>
              <w:t>国家</w:t>
            </w:r>
            <w:r>
              <w:rPr>
                <w:rFonts w:hint="eastAsia" w:ascii="Times New Roman" w:hAnsi="Times New Roman" w:eastAsia="仿宋" w:cs="Times New Roman"/>
                <w:color w:val="auto"/>
                <w:szCs w:val="21"/>
              </w:rPr>
              <w:t>级</w:t>
            </w:r>
          </w:p>
        </w:tc>
        <w:tc>
          <w:tcPr>
            <w:tcW w:w="1291" w:type="dxa"/>
            <w:tcMar>
              <w:left w:w="28" w:type="dxa"/>
              <w:right w:w="28" w:type="dxa"/>
            </w:tcMar>
            <w:vAlign w:val="center"/>
          </w:tcPr>
          <w:p>
            <w:pPr>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Cs w:val="21"/>
              </w:rPr>
              <w:t>教育部高等学校食品科学和工程类专业教学指导委员会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6</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苏日耶姆·尼加提</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全国优秀共青团员</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国家级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共青团中央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3</w:t>
            </w:r>
            <w:r>
              <w:rPr>
                <w:rFonts w:ascii="Times New Roman" w:hAnsi="Times New Roman" w:eastAsia="仿宋" w:cs="Times New Roman"/>
                <w:color w:val="auto"/>
                <w:szCs w:val="21"/>
              </w:rPr>
              <w:t>7</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苏日耶姆·尼加提</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第</w:t>
            </w:r>
            <w:r>
              <w:rPr>
                <w:rFonts w:hint="eastAsia" w:ascii="Times New Roman" w:hAnsi="Times New Roman" w:eastAsia="仿宋" w:cs="Times New Roman"/>
                <w:color w:val="auto"/>
                <w:szCs w:val="21"/>
              </w:rPr>
              <w:t>四</w:t>
            </w:r>
            <w:r>
              <w:rPr>
                <w:rFonts w:ascii="Times New Roman" w:hAnsi="Times New Roman" w:eastAsia="仿宋" w:cs="Times New Roman"/>
                <w:color w:val="auto"/>
                <w:szCs w:val="21"/>
              </w:rPr>
              <w:t>届全国高校大学生思政公开课展示活动</w:t>
            </w:r>
            <w:r>
              <w:rPr>
                <w:rFonts w:hint="eastAsia" w:ascii="Times New Roman" w:hAnsi="Times New Roman" w:eastAsia="仿宋" w:cs="Times New Roman"/>
                <w:color w:val="auto"/>
                <w:szCs w:val="21"/>
              </w:rPr>
              <w:t>优秀奖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2020</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32" w:type="dxa"/>
            <w:vMerge w:val="continue"/>
            <w:tcMar>
              <w:left w:w="28" w:type="dxa"/>
              <w:right w:w="28" w:type="dxa"/>
            </w:tcMar>
            <w:vAlign w:val="center"/>
          </w:tcPr>
          <w:p>
            <w:pPr>
              <w:jc w:val="center"/>
              <w:rPr>
                <w:rFonts w:ascii="Times New Roman" w:hAnsi="Times New Roman" w:eastAsia="仿宋" w:cs="Times New Roman"/>
                <w:color w:val="auto"/>
                <w:szCs w:val="21"/>
              </w:rPr>
            </w:pPr>
          </w:p>
        </w:tc>
        <w:tc>
          <w:tcPr>
            <w:tcW w:w="430"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38</w:t>
            </w:r>
          </w:p>
        </w:tc>
        <w:tc>
          <w:tcPr>
            <w:tcW w:w="1850"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苏日耶姆·尼加提</w:t>
            </w:r>
          </w:p>
        </w:tc>
        <w:tc>
          <w:tcPr>
            <w:tcW w:w="2752"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第三届全国高校大学生思政公开课展示活动</w:t>
            </w:r>
            <w:r>
              <w:rPr>
                <w:rFonts w:hint="eastAsia" w:ascii="Times New Roman" w:hAnsi="Times New Roman" w:eastAsia="仿宋" w:cs="Times New Roman"/>
                <w:color w:val="auto"/>
                <w:szCs w:val="21"/>
              </w:rPr>
              <w:t>优秀奖</w:t>
            </w:r>
          </w:p>
        </w:tc>
        <w:tc>
          <w:tcPr>
            <w:tcW w:w="608"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2019</w:t>
            </w:r>
          </w:p>
        </w:tc>
        <w:tc>
          <w:tcPr>
            <w:tcW w:w="813" w:type="dxa"/>
            <w:tcMar>
              <w:left w:w="28" w:type="dxa"/>
              <w:right w:w="28" w:type="dxa"/>
            </w:tcMar>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省部级</w:t>
            </w:r>
          </w:p>
        </w:tc>
        <w:tc>
          <w:tcPr>
            <w:tcW w:w="1291" w:type="dxa"/>
            <w:tcMar>
              <w:left w:w="28" w:type="dxa"/>
              <w:right w:w="28" w:type="dxa"/>
            </w:tcMar>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教育部</w:t>
            </w:r>
          </w:p>
        </w:tc>
      </w:tr>
    </w:tbl>
    <w:p>
      <w:pPr>
        <w:widowControl/>
        <w:tabs>
          <w:tab w:val="left" w:pos="1013"/>
        </w:tabs>
        <w:ind w:right="-197" w:rightChars="-94"/>
        <w:jc w:val="left"/>
        <w:rPr>
          <w:rFonts w:ascii="Times New Roman" w:hAnsi="Times New Roman" w:eastAsia="宋体" w:cs="Times New Roman"/>
          <w:szCs w:val="24"/>
          <w:highlight w:val="none"/>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w:t>
      </w:r>
      <w:r>
        <w:rPr>
          <w:rFonts w:ascii="Times New Roman" w:hAnsi="Times New Roman" w:eastAsia="宋体" w:cs="Times New Roman"/>
          <w:szCs w:val="24"/>
          <w:highlight w:val="none"/>
        </w:rPr>
        <w:t>业获得省部级</w:t>
      </w:r>
      <w:r>
        <w:rPr>
          <w:rFonts w:hint="eastAsia" w:ascii="Times New Roman" w:hAnsi="Times New Roman" w:eastAsia="宋体" w:cs="Times New Roman"/>
          <w:szCs w:val="24"/>
          <w:highlight w:val="none"/>
        </w:rPr>
        <w:t>特色专业、品牌专业、一流专业等建设项目支持情况。</w:t>
      </w:r>
    </w:p>
    <w:p>
      <w:pPr>
        <w:widowControl/>
        <w:tabs>
          <w:tab w:val="left" w:pos="1013"/>
        </w:tabs>
        <w:jc w:val="left"/>
        <w:rPr>
          <w:rFonts w:hint="eastAsia" w:ascii="Times New Roman" w:hAnsi="Times New Roman" w:eastAsia="宋体" w:cs="Times New Roman"/>
          <w:szCs w:val="24"/>
        </w:rPr>
      </w:pPr>
      <w:r>
        <w:rPr>
          <w:rFonts w:hint="eastAsia" w:ascii="Times New Roman" w:hAnsi="Times New Roman" w:eastAsia="宋体" w:cs="Times New Roman"/>
          <w:szCs w:val="24"/>
          <w:highlight w:val="none"/>
        </w:rPr>
        <w:t xml:space="preserve"> </w:t>
      </w:r>
      <w:r>
        <w:rPr>
          <w:rFonts w:ascii="Times New Roman" w:hAnsi="Times New Roman" w:eastAsia="宋体" w:cs="Times New Roman"/>
          <w:szCs w:val="24"/>
          <w:highlight w:val="none"/>
        </w:rPr>
        <w:t xml:space="preserve">   2.其他指本专业教师和学生获得的省部级及以上教育教</w:t>
      </w:r>
      <w:r>
        <w:rPr>
          <w:rFonts w:ascii="Times New Roman" w:hAnsi="Times New Roman" w:eastAsia="宋体" w:cs="Times New Roman"/>
          <w:szCs w:val="24"/>
        </w:rPr>
        <w:t>学奖励和支持情况</w:t>
      </w:r>
      <w:r>
        <w:rPr>
          <w:rFonts w:hint="eastAsia" w:ascii="Times New Roman" w:hAnsi="Times New Roman" w:eastAsia="宋体" w:cs="Times New Roman"/>
          <w:szCs w:val="24"/>
        </w:rPr>
        <w:t>。</w:t>
      </w:r>
    </w:p>
    <w:p>
      <w:pPr>
        <w:widowControl/>
        <w:tabs>
          <w:tab w:val="left" w:pos="1013"/>
        </w:tabs>
        <w:ind w:right="-197" w:rightChars="-94" w:firstLine="420" w:firstLineChars="200"/>
        <w:jc w:val="left"/>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3.各专业2022年取得的成果也可以加入其中。</w:t>
      </w:r>
    </w:p>
    <w:p>
      <w:pPr>
        <w:widowControl/>
        <w:jc w:val="left"/>
        <w:rPr>
          <w:rFonts w:ascii="楷体" w:hAnsi="楷体" w:eastAsia="楷体" w:cs="宋体"/>
          <w:b/>
          <w:kern w:val="0"/>
          <w:sz w:val="32"/>
          <w:szCs w:val="32"/>
        </w:rPr>
      </w:pP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2"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
                <w:bCs w:val="0"/>
                <w:sz w:val="24"/>
                <w:szCs w:val="24"/>
              </w:rPr>
              <w:t>专业定位：</w:t>
            </w:r>
            <w:r>
              <w:rPr>
                <w:rFonts w:hint="default" w:ascii="Times New Roman" w:hAnsi="Times New Roman" w:eastAsia="仿宋" w:cs="Times New Roman"/>
                <w:bCs/>
                <w:sz w:val="24"/>
                <w:szCs w:val="24"/>
              </w:rPr>
              <w:t>紧跟食品产业发展趋势，围绕国家大健康发展战略及兵团经济发展需求，立足兵团，面向西部，服务于区域经济建设和食品行业发展，以解决区域性现代食品工业生产中的质量控制及安全监督管理为目标，培养基础扎实、能力强、素质高</w:t>
            </w:r>
            <w:r>
              <w:rPr>
                <w:rFonts w:hint="eastAsia" w:ascii="Times New Roman" w:hAnsi="Times New Roman" w:eastAsia="仿宋" w:cs="Times New Roman"/>
                <w:bCs/>
                <w:sz w:val="24"/>
                <w:szCs w:val="24"/>
                <w:lang w:val="en-US" w:eastAsia="zh-CN"/>
              </w:rPr>
              <w:t>的</w:t>
            </w:r>
            <w:r>
              <w:rPr>
                <w:rFonts w:hint="default" w:ascii="Times New Roman" w:hAnsi="Times New Roman" w:eastAsia="仿宋" w:cs="Times New Roman"/>
                <w:bCs/>
                <w:sz w:val="24"/>
                <w:szCs w:val="24"/>
              </w:rPr>
              <w:t>应用型</w:t>
            </w:r>
            <w:r>
              <w:rPr>
                <w:rFonts w:hint="eastAsia" w:ascii="Times New Roman" w:hAnsi="Times New Roman" w:eastAsia="仿宋" w:cs="Times New Roman"/>
                <w:bCs/>
                <w:sz w:val="24"/>
                <w:szCs w:val="24"/>
                <w:lang w:val="en-US" w:eastAsia="zh-CN"/>
              </w:rPr>
              <w:t>专业</w:t>
            </w:r>
            <w:r>
              <w:rPr>
                <w:rFonts w:hint="default" w:ascii="Times New Roman" w:hAnsi="Times New Roman" w:eastAsia="仿宋" w:cs="Times New Roman"/>
                <w:bCs/>
                <w:sz w:val="24"/>
                <w:szCs w:val="24"/>
              </w:rPr>
              <w:t>人才。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
                <w:bCs w:val="0"/>
                <w:sz w:val="24"/>
                <w:szCs w:val="24"/>
              </w:rPr>
              <w:t>历史沿革：</w:t>
            </w:r>
            <w:r>
              <w:rPr>
                <w:rFonts w:hint="default" w:ascii="Times New Roman" w:hAnsi="Times New Roman" w:eastAsia="仿宋" w:cs="Times New Roman"/>
                <w:bCs/>
                <w:sz w:val="24"/>
                <w:szCs w:val="24"/>
              </w:rPr>
              <w:t>石河子大学食品学院前身系石河子农学院食品科学系，创建于1985年，</w:t>
            </w:r>
            <w:r>
              <w:rPr>
                <w:rFonts w:hint="eastAsia" w:ascii="Times New Roman" w:hAnsi="Times New Roman" w:eastAsia="仿宋" w:cs="Times New Roman"/>
                <w:bCs/>
                <w:sz w:val="24"/>
                <w:szCs w:val="24"/>
                <w:lang w:val="en-US" w:eastAsia="zh-CN"/>
              </w:rPr>
              <w:t>食品质量与安全专业前身系石河子大学农学院食品科学系下的农产品分析教研室，食品学院成立以来，2003年获硕士学位授权点，2005年设立该专业，且于2006年招收第一批本科生，2012在农业工程博士学位点自设农产品加工工程方向，目前已形成了本科-硕士-博士三级人才培养体系。</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 w:cs="Times New Roman"/>
                <w:bCs/>
                <w:szCs w:val="21"/>
                <w:lang w:val="en-US" w:eastAsia="zh-CN"/>
              </w:rPr>
            </w:pPr>
            <w:r>
              <w:rPr>
                <w:rFonts w:hint="eastAsia" w:ascii="Times New Roman" w:hAnsi="Times New Roman" w:eastAsia="仿宋" w:cs="Times New Roman"/>
                <w:b/>
                <w:bCs w:val="0"/>
                <w:sz w:val="24"/>
                <w:szCs w:val="24"/>
                <w:lang w:val="en-US" w:eastAsia="zh-CN"/>
              </w:rPr>
              <w:t>特色优势</w:t>
            </w:r>
            <w:r>
              <w:rPr>
                <w:rFonts w:hint="default" w:ascii="Times New Roman" w:hAnsi="Times New Roman" w:eastAsia="仿宋" w:cs="Times New Roman"/>
                <w:b/>
                <w:bCs w:val="0"/>
                <w:sz w:val="24"/>
                <w:szCs w:val="24"/>
              </w:rPr>
              <w:t>：</w:t>
            </w:r>
            <w:r>
              <w:rPr>
                <w:rFonts w:hint="eastAsia" w:ascii="Times New Roman" w:hAnsi="Times New Roman" w:eastAsia="仿宋" w:cs="Times New Roman"/>
                <w:bCs/>
                <w:sz w:val="24"/>
                <w:szCs w:val="24"/>
                <w:lang w:val="en-US" w:eastAsia="zh-CN"/>
              </w:rPr>
              <w:t>以石河子大学“双一流”建设为牵引，对比江南大学、中国农业大学、华南理工大学、新疆农业大学的同类专业，</w:t>
            </w:r>
            <w:r>
              <w:rPr>
                <w:rFonts w:hint="eastAsia" w:ascii="Times New Roman" w:hAnsi="Times New Roman" w:eastAsia="仿宋" w:cs="Times New Roman"/>
                <w:b w:val="0"/>
                <w:bCs/>
                <w:sz w:val="24"/>
                <w:szCs w:val="24"/>
                <w:lang w:val="en-US" w:eastAsia="zh-CN"/>
              </w:rPr>
              <w:t>结合区域经济建设和社会发展人才需求，</w:t>
            </w:r>
            <w:r>
              <w:rPr>
                <w:rFonts w:hint="eastAsia" w:ascii="Times New Roman" w:hAnsi="Times New Roman" w:eastAsia="仿宋" w:cs="Times New Roman"/>
                <w:b/>
                <w:bCs w:val="0"/>
                <w:sz w:val="24"/>
                <w:szCs w:val="24"/>
                <w:lang w:val="en-US" w:eastAsia="zh-CN"/>
              </w:rPr>
              <w:t>凝练出食品加工与工程、食品分析与安全检测、食品质量控制与管理3个课程群，12门核心课，</w:t>
            </w:r>
            <w:r>
              <w:rPr>
                <w:rFonts w:hint="eastAsia" w:ascii="Times New Roman" w:hAnsi="Times New Roman" w:eastAsia="仿宋" w:cs="Times New Roman"/>
                <w:b w:val="0"/>
                <w:bCs/>
                <w:sz w:val="24"/>
                <w:szCs w:val="24"/>
                <w:lang w:val="en-US" w:eastAsia="zh-CN"/>
              </w:rPr>
              <w:t>核心课程体系完整</w:t>
            </w:r>
            <w:r>
              <w:rPr>
                <w:rFonts w:hint="eastAsia" w:ascii="Times New Roman" w:hAnsi="Times New Roman" w:eastAsia="仿宋" w:cs="Times New Roman"/>
                <w:b/>
                <w:bCs w:val="0"/>
                <w:sz w:val="24"/>
                <w:szCs w:val="24"/>
                <w:lang w:val="en-US" w:eastAsia="zh-CN"/>
              </w:rPr>
              <w:t>；形成“1基地”+“4平台”的实践教学载体及“5层次+多模块”的实践教学体系</w:t>
            </w:r>
            <w:r>
              <w:rPr>
                <w:rFonts w:hint="eastAsia" w:ascii="Times New Roman" w:hAnsi="Times New Roman" w:eastAsia="仿宋" w:cs="Times New Roman"/>
                <w:b w:val="0"/>
                <w:bCs/>
                <w:sz w:val="24"/>
                <w:szCs w:val="24"/>
                <w:lang w:val="en-US" w:eastAsia="zh-CN"/>
              </w:rPr>
              <w:t>，</w:t>
            </w:r>
            <w:r>
              <w:rPr>
                <w:rFonts w:hint="eastAsia" w:ascii="Times New Roman" w:hAnsi="Times New Roman" w:eastAsia="仿宋" w:cs="Times New Roman"/>
                <w:bCs/>
                <w:sz w:val="24"/>
                <w:szCs w:val="24"/>
                <w:lang w:val="en-US" w:eastAsia="zh-CN"/>
              </w:rPr>
              <w:t>培养学生的创新创业能力。</w:t>
            </w:r>
            <w:r>
              <w:rPr>
                <w:rFonts w:hint="eastAsia" w:ascii="Times New Roman" w:hAnsi="Times New Roman" w:eastAsia="仿宋" w:cs="Times New Roman"/>
                <w:b/>
                <w:bCs w:val="0"/>
                <w:sz w:val="24"/>
                <w:szCs w:val="24"/>
                <w:lang w:val="en-US" w:eastAsia="zh-CN"/>
              </w:rPr>
              <w:t>为兵团经济和社会发展输送大量急需专业人才，全面提升兵团农产品质量安全监测能力，提高农产品质量安全水平。</w:t>
            </w:r>
            <w:r>
              <w:rPr>
                <w:rFonts w:hint="eastAsia" w:ascii="Times New Roman" w:hAnsi="Times New Roman" w:eastAsia="仿宋" w:cs="Times New Roman"/>
                <w:bCs/>
                <w:sz w:val="24"/>
                <w:szCs w:val="24"/>
                <w:lang w:val="en-US" w:eastAsia="zh-CN"/>
              </w:rPr>
              <w:t>近三年本专业的留疆率达60%以上。</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000" w:type="pct"/>
            <w:noWrap w:val="0"/>
            <w:vAlign w:val="top"/>
          </w:tcPr>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（1）以一流专业建设为标准，构建OBE理念优化人才培养体系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举措：依据教育部《食品质量与安全专业教学规范》、《中国工程教育专业认证》中的标准要求，结合新工科建设，于2022年邀请食品专业和相关企事业知名专家对人才培养方案的修订进行了论证。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成效：经多方论证，修订完成2022版专业人才培养方案。以立德树人为根本，全面践行“学生中心、产出导向、持续改进”的质量理念，培养具备</w:t>
            </w:r>
            <w:r>
              <w:rPr>
                <w:rFonts w:hint="eastAsia" w:ascii="Times New Roman" w:hAnsi="Times New Roman" w:eastAsia="仿宋" w:cs="Times New Roman"/>
                <w:b/>
                <w:bCs w:val="0"/>
                <w:kern w:val="2"/>
                <w:sz w:val="24"/>
                <w:szCs w:val="24"/>
                <w:lang w:val="en-US" w:eastAsia="zh-CN" w:bidi="ar-SA"/>
              </w:rPr>
              <w:t>“精食品、强检验、善管理”</w:t>
            </w:r>
            <w:r>
              <w:rPr>
                <w:rFonts w:hint="eastAsia" w:ascii="Times New Roman" w:hAnsi="Times New Roman" w:eastAsia="仿宋" w:cs="Times New Roman"/>
                <w:bCs/>
                <w:kern w:val="2"/>
                <w:sz w:val="24"/>
                <w:szCs w:val="24"/>
                <w:lang w:val="en-US" w:eastAsia="zh-CN" w:bidi="ar-SA"/>
              </w:rPr>
              <w:t>创新精神和创业能力的高素质应用型人才。</w:t>
            </w:r>
            <w:r>
              <w:rPr>
                <w:rFonts w:hint="eastAsia" w:ascii="Times New Roman" w:hAnsi="Times New Roman" w:eastAsia="仿宋" w:cs="Times New Roman"/>
                <w:b/>
                <w:bCs w:val="0"/>
                <w:kern w:val="2"/>
                <w:sz w:val="24"/>
                <w:szCs w:val="24"/>
                <w:lang w:val="en-US" w:eastAsia="zh-CN" w:bidi="ar-SA"/>
              </w:rPr>
              <w:t>2020年获批石河子大学一流专业。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（2）优化专业课程体系，深化教育教学方法改革</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举措：（1）根据区域经济发展需求、先进教育理念的引入和社会对学生能力需求等方面，优化专业课程体系。（2）探索实施翻转课堂、混合式教学、案例式、专题式教学等课堂教学改革，构建过程性考核体系，打造专业“一流课程”。</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成效：参与国家虚拟教研室（《食品工艺学》）1项；获自治区教学团队1个；自治区精品课程2门；兵团一流课程3门，石河子大学精品课程2门；石河子大学一流课程3门；石河子大学过程性考核示范课程7门；全国多媒体课件大赛一等奖1项；校级多媒体课件大赛一等奖1项，三等奖2项；近3年，获得教改项目22</w:t>
            </w:r>
            <w:r>
              <w:rPr>
                <w:rFonts w:hint="eastAsia" w:ascii="Times New Roman" w:hAnsi="Times New Roman" w:eastAsia="仿宋" w:cs="Times New Roman"/>
                <w:bCs/>
                <w:kern w:val="2"/>
                <w:sz w:val="24"/>
                <w:szCs w:val="24"/>
                <w:highlight w:val="none"/>
                <w:lang w:val="en-US" w:eastAsia="zh-CN" w:bidi="ar-SA"/>
              </w:rPr>
              <w:t>项，发表教学法论文12篇。</w:t>
            </w:r>
            <w:r>
              <w:rPr>
                <w:rFonts w:hint="eastAsia" w:ascii="Times New Roman" w:hAnsi="Times New Roman" w:eastAsia="仿宋" w:cs="Times New Roman"/>
                <w:b/>
                <w:bCs w:val="0"/>
                <w:kern w:val="2"/>
                <w:sz w:val="24"/>
                <w:szCs w:val="24"/>
                <w:lang w:val="en-US" w:eastAsia="zh-CN" w:bidi="ar-SA"/>
              </w:rPr>
              <w:t>本专业教师将“新疆熏马肠中生物胺的产生与控制”、“农药及细菌的快速检测技术”、“肉品中的蛋白质氧化”、“乳品质量安全控制”等标志性科研成果应用到课堂教学中</w:t>
            </w:r>
            <w:r>
              <w:rPr>
                <w:rFonts w:hint="eastAsia" w:ascii="Times New Roman" w:hAnsi="Times New Roman" w:eastAsia="仿宋" w:cs="Times New Roman"/>
                <w:bCs/>
                <w:kern w:val="2"/>
                <w:sz w:val="24"/>
                <w:szCs w:val="24"/>
                <w:lang w:val="en-US" w:eastAsia="zh-CN" w:bidi="ar-SA"/>
              </w:rPr>
              <w:t>。近3年获批国家自然科学基金7项，其中联合基金重点项目1项；获兵团南疆重点产业支撑计划项目1项，兵团科技攻关项目3项。</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（3）开放式立体的实践教学新体系的构建与实施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举措：。统筹构建课程实验、课程设计、实习实践、创新创业、学科竞赛相结合的实践教学体系；优化专业实践内容、丰富实践教学形式，提升学生综合素质，形成分阶段分层次的实践教学培养模式。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成效：形成“1基地”+“4平台”为实践教学载体，构建“5层次+多模块”的实践教学体系，有效激发学生学习兴趣和潜能，增强创新精神、实践能力和社会责任感。近3年，获得国家级大学生创新创业训练计划项目4项、创新创业训练计划项目30项。在学科竞赛和创新创业竞赛中获得各级奖励23项，其中</w:t>
            </w:r>
            <w:r>
              <w:rPr>
                <w:rFonts w:hint="eastAsia" w:ascii="Times New Roman" w:hAnsi="Times New Roman" w:eastAsia="仿宋" w:cs="Times New Roman"/>
                <w:b/>
                <w:bCs w:val="0"/>
                <w:kern w:val="2"/>
                <w:sz w:val="24"/>
                <w:szCs w:val="24"/>
                <w:lang w:val="en-US" w:eastAsia="zh-CN" w:bidi="ar-SA"/>
              </w:rPr>
              <w:t>国家级奖项5项，兵团“挑战杯”竞赛一等奖1项，二等奖3项；石河子大学“挑战杯”竞赛三等奖3项；石河子大学“互联网+”大赛二等奖2项，三等奖5项，校级优秀毕业论文4篇，其中“十佳”论文1篇，本科生发表论文11篇，其中参与SCI发表论文7篇</w:t>
            </w:r>
            <w:r>
              <w:rPr>
                <w:rFonts w:hint="eastAsia" w:ascii="Times New Roman" w:hAnsi="Times New Roman" w:eastAsia="仿宋" w:cs="Times New Roman"/>
                <w:b w:val="0"/>
                <w:bCs/>
                <w:kern w:val="2"/>
                <w:sz w:val="24"/>
                <w:szCs w:val="24"/>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（4）产学研融合协同育人，保障创新创业人才培养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举措：从企业实习实训、“双创”导师认定、项目合作及专业实习思政教育等方面入手，大力开展创新创业人才培养；拓展实习实践基地，聘请行业专家、知名校友等开展理论教学及实践指导。</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成效：本专业已建立20个校外实习实训基地，在产学研合作中，</w:t>
            </w:r>
            <w:r>
              <w:rPr>
                <w:rFonts w:hint="eastAsia" w:ascii="Times New Roman" w:hAnsi="Times New Roman" w:eastAsia="仿宋" w:cs="Times New Roman"/>
                <w:b/>
                <w:bCs w:val="0"/>
                <w:kern w:val="2"/>
                <w:sz w:val="24"/>
                <w:szCs w:val="24"/>
                <w:lang w:val="en-US" w:eastAsia="zh-CN" w:bidi="ar-SA"/>
              </w:rPr>
              <w:t>已实现与中国海关、新疆农垦科学院分析测试中心、西部牧业等共享实验平台的运作模式，并与合作单位共同申报科研项目10项，</w:t>
            </w:r>
            <w:r>
              <w:rPr>
                <w:rFonts w:hint="eastAsia" w:ascii="Times New Roman" w:hAnsi="Times New Roman" w:eastAsia="仿宋" w:cs="Times New Roman"/>
                <w:bCs/>
                <w:kern w:val="2"/>
                <w:sz w:val="24"/>
                <w:szCs w:val="24"/>
                <w:lang w:val="en-US" w:eastAsia="zh-CN" w:bidi="ar-SA"/>
              </w:rPr>
              <w:t>实现最大程度的优势互补，为协同育人提供科研载体及平台。</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（5）课程思政改革</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举措：以习近平新时代中国特色社会主义思想为指导，积极营造“立德树人，教书育人”的氛围，传承“兵团精神”和“胡杨精神”，进行食品质量与安全专业的课程思政建设。</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成效：</w:t>
            </w:r>
            <w:r>
              <w:rPr>
                <w:rFonts w:hint="eastAsia" w:ascii="Times New Roman" w:hAnsi="Times New Roman" w:eastAsia="仿宋_GB2312" w:cs="Times New Roman"/>
                <w:bCs/>
                <w:color w:val="auto"/>
                <w:sz w:val="24"/>
                <w:lang w:val="en-US" w:eastAsia="zh-CN"/>
              </w:rPr>
              <w:t>本专业</w:t>
            </w:r>
            <w:r>
              <w:rPr>
                <w:rFonts w:hint="default" w:ascii="Times New Roman" w:hAnsi="Times New Roman" w:eastAsia="仿宋_GB2312" w:cs="Times New Roman"/>
                <w:bCs/>
                <w:color w:val="auto"/>
                <w:sz w:val="24"/>
              </w:rPr>
              <w:t>所有课程</w:t>
            </w:r>
            <w:r>
              <w:rPr>
                <w:rFonts w:hint="eastAsia" w:ascii="Times New Roman" w:hAnsi="Times New Roman" w:eastAsia="仿宋_GB2312" w:cs="Times New Roman"/>
                <w:bCs/>
                <w:color w:val="auto"/>
                <w:sz w:val="24"/>
                <w:lang w:val="en-US" w:eastAsia="zh-CN"/>
              </w:rPr>
              <w:t>均</w:t>
            </w:r>
            <w:r>
              <w:rPr>
                <w:rFonts w:hint="default" w:ascii="Times New Roman" w:hAnsi="Times New Roman" w:eastAsia="仿宋_GB2312" w:cs="Times New Roman"/>
                <w:bCs/>
                <w:color w:val="auto"/>
                <w:sz w:val="24"/>
              </w:rPr>
              <w:t>进行思政案例讨论、认证，实现了理论课、实验课、实践课思政全覆盖，</w:t>
            </w:r>
            <w:r>
              <w:rPr>
                <w:rFonts w:hint="default" w:ascii="Times New Roman" w:hAnsi="Times New Roman" w:eastAsia="仿宋_GB2312" w:cs="Times New Roman"/>
                <w:b/>
                <w:bCs w:val="0"/>
                <w:color w:val="auto"/>
                <w:sz w:val="24"/>
              </w:rPr>
              <w:t>立项课程思政示范课程</w:t>
            </w:r>
            <w:r>
              <w:rPr>
                <w:rFonts w:hint="eastAsia" w:ascii="Times New Roman" w:hAnsi="Times New Roman" w:eastAsia="仿宋_GB2312" w:cs="Times New Roman"/>
                <w:b/>
                <w:bCs w:val="0"/>
                <w:color w:val="auto"/>
                <w:sz w:val="24"/>
                <w:lang w:val="en-US" w:eastAsia="zh-CN"/>
              </w:rPr>
              <w:t>8</w:t>
            </w:r>
            <w:r>
              <w:rPr>
                <w:rFonts w:hint="default" w:ascii="Times New Roman" w:hAnsi="Times New Roman" w:eastAsia="仿宋_GB2312" w:cs="Times New Roman"/>
                <w:b/>
                <w:bCs w:val="0"/>
                <w:color w:val="auto"/>
                <w:sz w:val="24"/>
              </w:rPr>
              <w:t>门</w:t>
            </w:r>
            <w:r>
              <w:rPr>
                <w:rFonts w:hint="eastAsia" w:ascii="Times New Roman" w:hAnsi="Times New Roman" w:eastAsia="仿宋_GB2312" w:cs="Times New Roman"/>
                <w:bCs/>
                <w:color w:val="auto"/>
                <w:sz w:val="24"/>
                <w:lang w:eastAsia="zh-CN"/>
              </w:rPr>
              <w:t>，</w:t>
            </w:r>
            <w:r>
              <w:rPr>
                <w:rFonts w:hint="eastAsia" w:ascii="Times New Roman" w:hAnsi="Times New Roman" w:eastAsia="仿宋" w:cs="Times New Roman"/>
                <w:b/>
                <w:bCs w:val="0"/>
                <w:kern w:val="2"/>
                <w:sz w:val="24"/>
                <w:szCs w:val="24"/>
                <w:lang w:val="en-US" w:eastAsia="zh-CN" w:bidi="ar-SA"/>
              </w:rPr>
              <w:t>获得石河子大学思政讲课比赛三等奖2项。本专业学生苏日耶姆•尼加提获得第二届全国学生“学宪法 讲宪法”活动总决赛特等奖；获第三届、第四届全国高校大学生思政公开课展示活动优秀奖。</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default" w:ascii="Times New Roman" w:hAnsi="Times New Roman" w:eastAsia="仿宋" w:cs="Times New Roman"/>
                <w:b/>
                <w:bCs w:val="0"/>
                <w:kern w:val="2"/>
                <w:sz w:val="24"/>
                <w:szCs w:val="24"/>
                <w:lang w:val="en-US" w:eastAsia="zh-CN" w:bidi="ar-SA"/>
              </w:rPr>
              <w:t>（1）</w:t>
            </w:r>
            <w:r>
              <w:rPr>
                <w:rFonts w:hint="eastAsia" w:ascii="Times New Roman" w:hAnsi="Times New Roman" w:eastAsia="仿宋" w:cs="Times New Roman"/>
                <w:b/>
                <w:bCs w:val="0"/>
                <w:kern w:val="2"/>
                <w:sz w:val="24"/>
                <w:szCs w:val="24"/>
                <w:lang w:val="en-US" w:eastAsia="zh-CN" w:bidi="ar-SA"/>
              </w:rPr>
              <w:t>引育并举，打造一支高学历强业务师资队伍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坚持博士学历进人标准，师资力量不断壮大，引进绿洲学着2人，现有博士16人，教授10人，副教授7人，博士生导师3人，硕士生导师17人。</w:t>
            </w:r>
            <w:r>
              <w:rPr>
                <w:rFonts w:hint="eastAsia" w:ascii="Times New Roman" w:hAnsi="Times New Roman" w:eastAsia="仿宋" w:cs="Times New Roman"/>
                <w:b/>
                <w:bCs w:val="0"/>
                <w:kern w:val="2"/>
                <w:sz w:val="24"/>
                <w:szCs w:val="24"/>
                <w:lang w:val="en-US" w:eastAsia="zh-CN" w:bidi="ar-SA"/>
              </w:rPr>
              <w:t>全国宝钢优秀教师1人，兵团英才1人，兵团优秀青年教师1人，兵团中青年领军人才2人，八师中青年领军人才1人，校级教学能手4人，校级优秀青年教师1人，校级优秀教育工作者1人，巾帼建功先进个人5人。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default" w:ascii="Times New Roman" w:hAnsi="Times New Roman" w:eastAsia="仿宋" w:cs="Times New Roman"/>
                <w:b/>
                <w:bCs w:val="0"/>
                <w:kern w:val="2"/>
                <w:sz w:val="24"/>
                <w:szCs w:val="24"/>
                <w:lang w:val="en-US" w:eastAsia="zh-CN" w:bidi="ar-SA"/>
              </w:rPr>
              <w:t>（2）</w:t>
            </w:r>
            <w:r>
              <w:rPr>
                <w:rFonts w:hint="eastAsia" w:ascii="Times New Roman" w:hAnsi="Times New Roman" w:eastAsia="仿宋" w:cs="Times New Roman"/>
                <w:b/>
                <w:bCs w:val="0"/>
                <w:kern w:val="2"/>
                <w:sz w:val="24"/>
                <w:szCs w:val="24"/>
                <w:lang w:val="en-US" w:eastAsia="zh-CN" w:bidi="ar-SA"/>
              </w:rPr>
              <w:t>加强教师工程实践背景，推行企业导师进课堂联合培养机制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通过推行教师服务企业、教师到企业挂职顶岗等方式，使教师走向企业一线，强化专业教师的工程背景。同时建立健全企业导师定期进课堂的联合培养机制。可聘请企业、行业工程师、专家做专业的外聘兼职教师，承担专业课中10%-25%学时的教学任务，将生产实践中的问题带到课堂，切实做到理论联系实际。</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（3）教学基层组织建设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方正小标宋_GBK" w:hAnsi="Times New Roman" w:eastAsia="仿宋_GB2312"/>
                <w:b/>
                <w:bCs/>
                <w:szCs w:val="21"/>
                <w:lang w:val="en-US"/>
              </w:rPr>
            </w:pPr>
            <w:r>
              <w:rPr>
                <w:rFonts w:hint="eastAsia" w:ascii="Times New Roman" w:hAnsi="Times New Roman" w:eastAsia="仿宋" w:cs="Times New Roman"/>
                <w:bCs/>
                <w:kern w:val="2"/>
                <w:sz w:val="24"/>
                <w:szCs w:val="24"/>
                <w:lang w:val="en-US" w:eastAsia="zh-CN" w:bidi="ar-SA"/>
              </w:rPr>
              <w:t>明确专业建设、课程与教材建设、实践教学、教学研究与改革，教师教学发展等方面的工作任务。充分发挥基层教学组织的作用，按相近课程分为3个课程群，有计划有目的的定期开展教学研讨与交流活动，组织集体备课、教学观摩，思政讲课比赛、教学设计评比、新型教学方法学习交流等。本专业于2020年获得</w:t>
            </w:r>
            <w:r>
              <w:rPr>
                <w:rFonts w:hint="eastAsia" w:ascii="Times New Roman" w:hAnsi="Times New Roman" w:eastAsia="仿宋" w:cs="Times New Roman"/>
                <w:b/>
                <w:bCs w:val="0"/>
                <w:kern w:val="2"/>
                <w:sz w:val="24"/>
                <w:szCs w:val="24"/>
                <w:lang w:val="en-US" w:eastAsia="zh-CN" w:bidi="ar-SA"/>
              </w:rPr>
              <w:t>石河子大学“优秀教学基层组织”、石河子大学“先进基层党组织”及石河子大学“巾帼建功先进集体”荣誉称号</w:t>
            </w:r>
            <w:r>
              <w:rPr>
                <w:rFonts w:hint="eastAsia" w:ascii="Times New Roman" w:hAnsi="Times New Roman" w:eastAsia="仿宋" w:cs="Times New Roman"/>
                <w:bCs/>
                <w:kern w:val="2"/>
                <w:sz w:val="24"/>
                <w:szCs w:val="24"/>
                <w:lang w:val="en-US" w:eastAsia="zh-CN" w:bidi="ar-SA"/>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6" w:hRule="atLeast"/>
        </w:trPr>
        <w:tc>
          <w:tcPr>
            <w:tcW w:w="9570" w:type="dxa"/>
            <w:noWrap w:val="0"/>
            <w:vAlign w:val="top"/>
          </w:tcPr>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482"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（1）完善教学质量标准。</w:t>
            </w:r>
            <w:r>
              <w:rPr>
                <w:rFonts w:hint="eastAsia" w:ascii="Times New Roman" w:hAnsi="Times New Roman" w:eastAsia="仿宋" w:cs="Times New Roman"/>
                <w:bCs/>
                <w:kern w:val="2"/>
                <w:sz w:val="24"/>
                <w:szCs w:val="24"/>
                <w:lang w:val="en-US" w:eastAsia="zh-CN" w:bidi="ar-SA"/>
              </w:rPr>
              <w:t>形成了涵盖课堂教学及考核管理、实习（实验或实训）、课程设计、毕业论文（设计）、教材选用等各教学环节的质量标准。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（2）质量保障体系的组织、制度建设</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实行“二级管理、两线并行、管评分离”的质量保障组织系统。不断加强院、系“二级管理”的本科教学质量保障体系的组织建设，注重教学组织运行和教学质量监督“两线并行、管评分离”的队伍建设。</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“教学组织运行线”是由分管教学副院长、院教学指导委员会、教办、系主任组成；“教学质量监督线”是由院长、院教学督导专家组、学生信息员组成。</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482"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（3）注重教学过程监控。</w:t>
            </w:r>
            <w:r>
              <w:rPr>
                <w:rFonts w:hint="eastAsia" w:ascii="Times New Roman" w:hAnsi="Times New Roman" w:eastAsia="仿宋" w:cs="Times New Roman"/>
                <w:bCs/>
                <w:kern w:val="2"/>
                <w:sz w:val="24"/>
                <w:szCs w:val="24"/>
                <w:lang w:val="en-US" w:eastAsia="zh-CN" w:bidi="ar-SA"/>
              </w:rPr>
              <w:t>本专业的教学质量监控主要包括：日常检查和监督、学生监控、学情调查三个常规项目。监控方法主要涉及现场查看、听课看课、问卷调查、线上评教、座谈研讨等，监控和评价教学运行、目标达成情况。</w:t>
            </w:r>
          </w:p>
          <w:p>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default"/>
                <w:lang w:val="en-US" w:eastAsia="zh-CN"/>
              </w:rPr>
            </w:pPr>
            <w:r>
              <w:rPr>
                <w:rFonts w:hint="eastAsia" w:ascii="Times New Roman" w:hAnsi="Times New Roman" w:eastAsia="仿宋" w:cs="Times New Roman"/>
                <w:b/>
                <w:bCs w:val="0"/>
                <w:kern w:val="2"/>
                <w:sz w:val="24"/>
                <w:szCs w:val="24"/>
                <w:lang w:val="en-US" w:eastAsia="zh-CN" w:bidi="ar-SA"/>
              </w:rPr>
              <w:t>（4）质量监控实施效果。提高了教师教育教学能力。</w:t>
            </w:r>
            <w:r>
              <w:rPr>
                <w:rFonts w:hint="eastAsia" w:ascii="Times New Roman" w:hAnsi="Times New Roman" w:eastAsia="仿宋" w:cs="Times New Roman"/>
                <w:bCs/>
                <w:kern w:val="2"/>
                <w:sz w:val="24"/>
                <w:szCs w:val="24"/>
                <w:lang w:val="en-US" w:eastAsia="zh-CN" w:bidi="ar-SA"/>
              </w:rPr>
              <w:t>通过评价激励和刚性约束，引导教师加大教学精力投入，强化教学质量底线意识。</w:t>
            </w:r>
            <w:r>
              <w:rPr>
                <w:rFonts w:hint="eastAsia" w:ascii="Times New Roman" w:hAnsi="Times New Roman" w:eastAsia="仿宋" w:cs="Times New Roman"/>
                <w:b/>
                <w:bCs w:val="0"/>
                <w:kern w:val="2"/>
                <w:sz w:val="24"/>
                <w:szCs w:val="24"/>
                <w:lang w:val="en-US" w:eastAsia="zh-CN" w:bidi="ar-SA"/>
              </w:rPr>
              <w:t>教学研究引领质量改进。</w:t>
            </w:r>
            <w:r>
              <w:rPr>
                <w:rFonts w:hint="eastAsia" w:ascii="Times New Roman" w:hAnsi="Times New Roman" w:eastAsia="仿宋" w:cs="Times New Roman"/>
                <w:bCs/>
                <w:kern w:val="2"/>
                <w:sz w:val="24"/>
                <w:szCs w:val="24"/>
                <w:lang w:val="en-US" w:eastAsia="zh-CN" w:bidi="ar-SA"/>
              </w:rPr>
              <w:t>开展与质量改进有关的教学研究，本专业教师主持的教育教学改革项目的研究与应用（近3年获批校级项目26项），发挥了在质量改进过程中的主导作用，取得了一系列教学成果，本专业学生评教优良率100%。</w:t>
            </w:r>
          </w:p>
          <w:p>
            <w:pPr>
              <w:spacing w:line="0" w:lineRule="atLeast"/>
              <w:jc w:val="left"/>
              <w:rPr>
                <w:rFonts w:hint="eastAsia" w:ascii="仿宋" w:hAnsi="仿宋" w:eastAsia="仿宋"/>
                <w:bCs/>
                <w:szCs w:val="21"/>
              </w:rPr>
            </w:pPr>
          </w:p>
        </w:tc>
      </w:tr>
    </w:tbl>
    <w:p>
      <w:pPr>
        <w:rPr>
          <w:rFonts w:ascii="黑体" w:hAnsi="黑体" w:eastAsia="黑体" w:cs="Times New Roman"/>
          <w:sz w:val="36"/>
          <w:szCs w:val="36"/>
        </w:rPr>
      </w:pP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8" w:hRule="atLeast"/>
        </w:trPr>
        <w:tc>
          <w:tcPr>
            <w:tcW w:w="9570" w:type="dxa"/>
            <w:noWrap w:val="0"/>
            <w:vAlign w:val="top"/>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（1）毕业生就业及教学满意度分析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近三年，本专业毕业生总数204人，一次就业（升学等）率在84%以上，均高于学校当年平均值。升学院校包括西北农林科技大学、大连理工大学、上海交通大学、江南大学等985、211重点院校；就业单位包括伊利、蒙牛、中粮等各类国企、民企、合资企业等。通过教学满意度调查，</w:t>
            </w:r>
            <w:r>
              <w:rPr>
                <w:rFonts w:ascii="Times New Roman" w:hAnsi="Times New Roman" w:eastAsia="仿宋"/>
                <w:bCs/>
                <w:szCs w:val="21"/>
              </w:rPr>
              <w:t>毕业生</w:t>
            </w:r>
            <w:r>
              <w:rPr>
                <w:rFonts w:hint="eastAsia" w:ascii="Times New Roman" w:hAnsi="Times New Roman" w:eastAsia="仿宋"/>
                <w:bCs/>
                <w:szCs w:val="21"/>
                <w:lang w:val="en-US" w:eastAsia="zh-CN"/>
              </w:rPr>
              <w:t>对</w:t>
            </w:r>
            <w:r>
              <w:rPr>
                <w:rFonts w:ascii="Times New Roman" w:hAnsi="Times New Roman" w:eastAsia="仿宋"/>
                <w:bCs/>
                <w:szCs w:val="21"/>
              </w:rPr>
              <w:t>教育教学的总体满意度为9</w:t>
            </w:r>
            <w:r>
              <w:rPr>
                <w:rFonts w:hint="eastAsia" w:ascii="Times New Roman" w:hAnsi="Times New Roman" w:eastAsia="仿宋"/>
                <w:bCs/>
                <w:szCs w:val="21"/>
                <w:lang w:val="en-US" w:eastAsia="zh-CN"/>
              </w:rPr>
              <w:t>3</w:t>
            </w:r>
            <w:r>
              <w:rPr>
                <w:rFonts w:ascii="Times New Roman" w:hAnsi="Times New Roman" w:eastAsia="仿宋"/>
                <w:bCs/>
                <w:szCs w:val="21"/>
              </w:rPr>
              <w:t>.</w:t>
            </w:r>
            <w:r>
              <w:rPr>
                <w:rFonts w:hint="eastAsia" w:ascii="Times New Roman" w:hAnsi="Times New Roman" w:eastAsia="仿宋"/>
                <w:bCs/>
                <w:szCs w:val="21"/>
                <w:lang w:val="en-US" w:eastAsia="zh-CN"/>
              </w:rPr>
              <w:t>1</w:t>
            </w:r>
            <w:r>
              <w:rPr>
                <w:rFonts w:ascii="Times New Roman" w:hAnsi="Times New Roman" w:eastAsia="仿宋"/>
                <w:bCs/>
                <w:szCs w:val="21"/>
              </w:rPr>
              <w:t>%、专业课教师的满意度为9</w:t>
            </w:r>
            <w:r>
              <w:rPr>
                <w:rFonts w:hint="eastAsia" w:ascii="Times New Roman" w:hAnsi="Times New Roman" w:eastAsia="仿宋"/>
                <w:bCs/>
                <w:szCs w:val="21"/>
                <w:lang w:val="en-US" w:eastAsia="zh-CN"/>
              </w:rPr>
              <w:t>5.2</w:t>
            </w:r>
            <w:r>
              <w:rPr>
                <w:rFonts w:ascii="Times New Roman" w:hAnsi="Times New Roman" w:eastAsia="仿宋"/>
                <w:bCs/>
                <w:szCs w:val="21"/>
              </w:rPr>
              <w:t>%、课堂教学的满意度为92.</w:t>
            </w:r>
            <w:r>
              <w:rPr>
                <w:rFonts w:hint="eastAsia" w:ascii="Times New Roman" w:hAnsi="Times New Roman" w:eastAsia="仿宋"/>
                <w:bCs/>
                <w:szCs w:val="21"/>
                <w:lang w:val="en-US" w:eastAsia="zh-CN"/>
              </w:rPr>
              <w:t>8</w:t>
            </w:r>
            <w:r>
              <w:rPr>
                <w:rFonts w:ascii="Times New Roman" w:hAnsi="Times New Roman" w:eastAsia="仿宋"/>
                <w:bCs/>
                <w:szCs w:val="21"/>
              </w:rPr>
              <w:t>%、实践教学的满意度为9</w:t>
            </w:r>
            <w:r>
              <w:rPr>
                <w:rFonts w:hint="eastAsia" w:ascii="Times New Roman" w:hAnsi="Times New Roman" w:eastAsia="仿宋"/>
                <w:bCs/>
                <w:szCs w:val="21"/>
                <w:lang w:val="en-US" w:eastAsia="zh-CN"/>
              </w:rPr>
              <w:t>7</w:t>
            </w:r>
            <w:r>
              <w:rPr>
                <w:rFonts w:ascii="Times New Roman" w:hAnsi="Times New Roman" w:eastAsia="仿宋"/>
                <w:bCs/>
                <w:szCs w:val="21"/>
              </w:rPr>
              <w:t>.</w:t>
            </w:r>
            <w:r>
              <w:rPr>
                <w:rFonts w:hint="eastAsia" w:ascii="Times New Roman" w:hAnsi="Times New Roman" w:eastAsia="仿宋"/>
                <w:bCs/>
                <w:szCs w:val="21"/>
                <w:lang w:val="en-US" w:eastAsia="zh-CN"/>
              </w:rPr>
              <w:t>3</w:t>
            </w:r>
            <w:r>
              <w:rPr>
                <w:rFonts w:ascii="Times New Roman" w:hAnsi="Times New Roman" w:eastAsia="仿宋"/>
                <w:bCs/>
                <w:szCs w:val="21"/>
              </w:rPr>
              <w:t>%。调查结果显示，满意度都在92%以上。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（2）用人单位对毕业生满意度分析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仿宋"/>
                <w:bCs/>
                <w:szCs w:val="21"/>
              </w:rPr>
            </w:pPr>
            <w:r>
              <w:rPr>
                <w:rFonts w:hint="eastAsia" w:ascii="Times New Roman" w:hAnsi="Times New Roman" w:eastAsia="仿宋" w:cs="Times New Roman"/>
                <w:bCs/>
                <w:kern w:val="2"/>
                <w:sz w:val="24"/>
                <w:szCs w:val="24"/>
                <w:lang w:val="en-US" w:eastAsia="zh-CN" w:bidi="ar-SA"/>
              </w:rPr>
              <w:t>近3年对用人单位进行了跟踪回访，调查结果显示用人单位对</w:t>
            </w:r>
            <w:r>
              <w:rPr>
                <w:rFonts w:ascii="Times New Roman" w:hAnsi="Times New Roman" w:eastAsia="仿宋"/>
                <w:bCs/>
                <w:szCs w:val="21"/>
              </w:rPr>
              <w:t>毕业生的工作表现总体满意度为9</w:t>
            </w:r>
            <w:r>
              <w:rPr>
                <w:rFonts w:hint="eastAsia" w:ascii="Times New Roman" w:hAnsi="Times New Roman" w:eastAsia="仿宋"/>
                <w:bCs/>
                <w:szCs w:val="21"/>
                <w:lang w:val="en-US" w:eastAsia="zh-CN"/>
              </w:rPr>
              <w:t>3.8</w:t>
            </w:r>
            <w:r>
              <w:rPr>
                <w:rFonts w:ascii="Times New Roman" w:hAnsi="Times New Roman" w:eastAsia="仿宋"/>
                <w:bCs/>
                <w:szCs w:val="21"/>
              </w:rPr>
              <w:t>%、认为毕业生所学专业课程对目前工作的贡献程度为9</w:t>
            </w:r>
            <w:r>
              <w:rPr>
                <w:rFonts w:hint="eastAsia" w:ascii="Times New Roman" w:hAnsi="Times New Roman" w:eastAsia="仿宋"/>
                <w:bCs/>
                <w:szCs w:val="21"/>
                <w:lang w:val="en-US" w:eastAsia="zh-CN"/>
              </w:rPr>
              <w:t>4.6</w:t>
            </w:r>
            <w:r>
              <w:rPr>
                <w:rFonts w:ascii="Times New Roman" w:hAnsi="Times New Roman" w:eastAsia="仿宋"/>
                <w:bCs/>
                <w:szCs w:val="21"/>
              </w:rPr>
              <w:t>%、认为毕业生可胜任目前的工作的能力为9</w:t>
            </w:r>
            <w:r>
              <w:rPr>
                <w:rFonts w:hint="eastAsia" w:ascii="Times New Roman" w:hAnsi="Times New Roman" w:eastAsia="仿宋"/>
                <w:bCs/>
                <w:szCs w:val="21"/>
                <w:lang w:val="en-US" w:eastAsia="zh-CN"/>
              </w:rPr>
              <w:t>3</w:t>
            </w:r>
            <w:r>
              <w:rPr>
                <w:rFonts w:ascii="Times New Roman" w:hAnsi="Times New Roman" w:eastAsia="仿宋"/>
                <w:bCs/>
                <w:szCs w:val="21"/>
              </w:rPr>
              <w:t>.</w:t>
            </w:r>
            <w:r>
              <w:rPr>
                <w:rFonts w:hint="eastAsia" w:ascii="Times New Roman" w:hAnsi="Times New Roman" w:eastAsia="仿宋"/>
                <w:bCs/>
                <w:szCs w:val="21"/>
                <w:lang w:val="en-US" w:eastAsia="zh-CN"/>
              </w:rPr>
              <w:t>1</w:t>
            </w:r>
            <w:r>
              <w:rPr>
                <w:rFonts w:ascii="Times New Roman" w:hAnsi="Times New Roman" w:eastAsia="仿宋"/>
                <w:bCs/>
                <w:szCs w:val="21"/>
              </w:rPr>
              <w:t>%、认为毕业生专业技能素质较强的为9</w:t>
            </w:r>
            <w:r>
              <w:rPr>
                <w:rFonts w:hint="eastAsia" w:ascii="Times New Roman" w:hAnsi="Times New Roman" w:eastAsia="仿宋"/>
                <w:bCs/>
                <w:szCs w:val="21"/>
                <w:lang w:val="en-US" w:eastAsia="zh-CN"/>
              </w:rPr>
              <w:t>2</w:t>
            </w:r>
            <w:r>
              <w:rPr>
                <w:rFonts w:ascii="Times New Roman" w:hAnsi="Times New Roman" w:eastAsia="仿宋"/>
                <w:bCs/>
                <w:szCs w:val="21"/>
              </w:rPr>
              <w:t>.</w:t>
            </w:r>
            <w:r>
              <w:rPr>
                <w:rFonts w:hint="eastAsia" w:ascii="Times New Roman" w:hAnsi="Times New Roman" w:eastAsia="仿宋"/>
                <w:bCs/>
                <w:szCs w:val="21"/>
                <w:lang w:val="en-US" w:eastAsia="zh-CN"/>
              </w:rPr>
              <w:t>3</w:t>
            </w:r>
            <w:r>
              <w:rPr>
                <w:rFonts w:ascii="Times New Roman" w:hAnsi="Times New Roman" w:eastAsia="仿宋"/>
                <w:bCs/>
                <w:szCs w:val="21"/>
              </w:rPr>
              <w:t>%、学习能力为9</w:t>
            </w:r>
            <w:r>
              <w:rPr>
                <w:rFonts w:hint="eastAsia" w:ascii="Times New Roman" w:hAnsi="Times New Roman" w:eastAsia="仿宋"/>
                <w:bCs/>
                <w:szCs w:val="21"/>
                <w:lang w:val="en-US" w:eastAsia="zh-CN"/>
              </w:rPr>
              <w:t>4</w:t>
            </w:r>
            <w:r>
              <w:rPr>
                <w:rFonts w:ascii="Times New Roman" w:hAnsi="Times New Roman" w:eastAsia="仿宋"/>
                <w:bCs/>
                <w:szCs w:val="21"/>
              </w:rPr>
              <w:t>.</w:t>
            </w:r>
            <w:r>
              <w:rPr>
                <w:rFonts w:hint="eastAsia" w:ascii="Times New Roman" w:hAnsi="Times New Roman" w:eastAsia="仿宋"/>
                <w:bCs/>
                <w:szCs w:val="21"/>
                <w:lang w:val="en-US" w:eastAsia="zh-CN"/>
              </w:rPr>
              <w:t>7</w:t>
            </w:r>
            <w:r>
              <w:rPr>
                <w:rFonts w:ascii="Times New Roman" w:hAnsi="Times New Roman" w:eastAsia="仿宋"/>
                <w:bCs/>
                <w:szCs w:val="21"/>
              </w:rPr>
              <w:t>%。调查结果显示，用人单位对毕业生的整体素质持肯定态度，综合素质较强，专业基础较好，能尽快适应工作岗位，特别在敬业精神、诚信意识、合作精神等方面表现突出，满意度都在9</w:t>
            </w:r>
            <w:r>
              <w:rPr>
                <w:rFonts w:hint="eastAsia" w:ascii="Times New Roman" w:hAnsi="Times New Roman" w:eastAsia="仿宋"/>
                <w:bCs/>
                <w:szCs w:val="21"/>
                <w:lang w:val="en-US" w:eastAsia="zh-CN"/>
              </w:rPr>
              <w:t>2</w:t>
            </w:r>
            <w:r>
              <w:rPr>
                <w:rFonts w:ascii="Times New Roman" w:hAnsi="Times New Roman" w:eastAsia="仿宋"/>
                <w:bCs/>
                <w:szCs w:val="21"/>
              </w:rPr>
              <w:t>%以上。</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p>
      <w:pPr>
        <w:spacing w:line="20" w:lineRule="exact"/>
        <w:rPr>
          <w:rFonts w:ascii="仿宋_GB2312" w:hAnsi="Calibri" w:eastAsia="仿宋_GB2312" w:cs="经典平黑简"/>
          <w:sz w:val="10"/>
          <w:szCs w:val="1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9" w:hRule="atLeast"/>
        </w:trPr>
        <w:tc>
          <w:tcPr>
            <w:tcW w:w="5000" w:type="pct"/>
            <w:noWrap w:val="0"/>
            <w:vAlign w:val="top"/>
          </w:tcPr>
          <w:p>
            <w:pPr>
              <w:keepNext w:val="0"/>
              <w:keepLines w:val="0"/>
              <w:pageBreakBefore w:val="0"/>
              <w:kinsoku/>
              <w:wordWrap/>
              <w:overflowPunct/>
              <w:topLinePunct w:val="0"/>
              <w:autoSpaceDE/>
              <w:autoSpaceDN/>
              <w:bidi w:val="0"/>
              <w:adjustRightInd/>
              <w:snapToGrid/>
              <w:spacing w:line="560" w:lineRule="exact"/>
              <w:ind w:firstLine="472" w:firstLineChars="196"/>
              <w:textAlignment w:val="auto"/>
              <w:rPr>
                <w:rFonts w:hint="eastAsia" w:ascii="Times New Roman" w:hAnsi="Times New Roman" w:eastAsia="仿宋" w:cs="Times New Roman"/>
                <w:b/>
                <w:bCs w:val="0"/>
                <w:kern w:val="2"/>
                <w:sz w:val="24"/>
                <w:szCs w:val="24"/>
                <w:lang w:val="en-US" w:eastAsia="zh-CN" w:bidi="ar-SA"/>
              </w:rPr>
            </w:pPr>
            <w:bookmarkStart w:id="0" w:name="_Hlk2001382"/>
            <w:r>
              <w:rPr>
                <w:rFonts w:hint="eastAsia" w:ascii="Times New Roman" w:hAnsi="Times New Roman" w:eastAsia="仿宋" w:cs="Times New Roman"/>
                <w:b/>
                <w:bCs w:val="0"/>
                <w:kern w:val="2"/>
                <w:sz w:val="24"/>
                <w:szCs w:val="24"/>
                <w:lang w:val="en-US" w:eastAsia="zh-CN" w:bidi="ar-SA"/>
              </w:rPr>
              <w:t>（1）教学改革过程化管理机制有待于进一步加强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首先建立教学改革责任制，把教学改革作为教师教学工作的一个重要内容，成为评价教师教学效果的一个重要方面；其次建立教学改革成果奖励制度，鼓励教师大胆改革，积极创新，多出成果；第三，多元化教学方法落到实处。开展多层次的教学方法培训，鼓励教师在课堂教学过程中采用多元化教学方法，如混合式、翻转式、讨论式等，通过实践切实掌握新教学方法的内涵，提升教师的教学水平。</w:t>
            </w:r>
            <w:r>
              <w:rPr>
                <w:rFonts w:hint="default" w:ascii="Times New Roman" w:hAnsi="Times New Roman" w:eastAsia="仿宋" w:cs="Times New Roman"/>
                <w:bCs/>
                <w:kern w:val="2"/>
                <w:sz w:val="24"/>
                <w:szCs w:val="24"/>
                <w:lang w:val="en-US" w:eastAsia="zh-CN" w:bidi="ar-SA"/>
              </w:rPr>
              <w:t>争取建成</w:t>
            </w:r>
            <w:r>
              <w:rPr>
                <w:rFonts w:hint="eastAsia" w:ascii="Times New Roman" w:hAnsi="Times New Roman" w:eastAsia="仿宋" w:cs="Times New Roman"/>
                <w:bCs/>
                <w:kern w:val="2"/>
                <w:sz w:val="24"/>
                <w:szCs w:val="24"/>
                <w:lang w:val="en-US" w:eastAsia="zh-CN" w:bidi="ar-SA"/>
              </w:rPr>
              <w:t>4</w:t>
            </w:r>
            <w:r>
              <w:rPr>
                <w:rFonts w:hint="default" w:ascii="Times New Roman" w:hAnsi="Times New Roman" w:eastAsia="仿宋" w:cs="Times New Roman"/>
                <w:bCs/>
                <w:kern w:val="2"/>
                <w:sz w:val="24"/>
                <w:szCs w:val="24"/>
                <w:lang w:val="en-US" w:eastAsia="zh-CN" w:bidi="ar-SA"/>
              </w:rPr>
              <w:t>-</w:t>
            </w:r>
            <w:r>
              <w:rPr>
                <w:rFonts w:hint="eastAsia" w:ascii="Times New Roman" w:hAnsi="Times New Roman" w:eastAsia="仿宋" w:cs="Times New Roman"/>
                <w:bCs/>
                <w:kern w:val="2"/>
                <w:sz w:val="24"/>
                <w:szCs w:val="24"/>
                <w:lang w:val="en-US" w:eastAsia="zh-CN" w:bidi="ar-SA"/>
              </w:rPr>
              <w:t>6</w:t>
            </w:r>
            <w:r>
              <w:rPr>
                <w:rFonts w:hint="default" w:ascii="Times New Roman" w:hAnsi="Times New Roman" w:eastAsia="仿宋" w:cs="Times New Roman"/>
                <w:bCs/>
                <w:kern w:val="2"/>
                <w:sz w:val="24"/>
                <w:szCs w:val="24"/>
                <w:lang w:val="en-US" w:eastAsia="zh-CN" w:bidi="ar-SA"/>
              </w:rPr>
              <w:t>门校级一流课程，1-2门国家级一流课程。</w:t>
            </w:r>
          </w:p>
          <w:p>
            <w:pPr>
              <w:keepNext w:val="0"/>
              <w:keepLines w:val="0"/>
              <w:pageBreakBefore w:val="0"/>
              <w:kinsoku/>
              <w:wordWrap/>
              <w:overflowPunct/>
              <w:topLinePunct w:val="0"/>
              <w:autoSpaceDE/>
              <w:autoSpaceDN/>
              <w:bidi w:val="0"/>
              <w:adjustRightInd/>
              <w:snapToGrid/>
              <w:spacing w:line="560" w:lineRule="exact"/>
              <w:ind w:firstLine="472" w:firstLineChars="196"/>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（2）加强实践创新能力</w:t>
            </w:r>
            <w:r>
              <w:rPr>
                <w:rFonts w:hint="default" w:ascii="Times New Roman" w:hAnsi="Times New Roman" w:eastAsia="仿宋" w:cs="Times New Roman"/>
                <w:b/>
                <w:bCs w:val="0"/>
                <w:kern w:val="2"/>
                <w:sz w:val="24"/>
                <w:szCs w:val="24"/>
                <w:lang w:val="en-US" w:eastAsia="zh-CN" w:bidi="ar-SA"/>
              </w:rPr>
              <w:t>，</w:t>
            </w:r>
            <w:r>
              <w:rPr>
                <w:rFonts w:hint="eastAsia" w:ascii="Times New Roman" w:hAnsi="Times New Roman" w:eastAsia="仿宋" w:cs="Times New Roman"/>
                <w:b/>
                <w:bCs w:val="0"/>
                <w:kern w:val="2"/>
                <w:sz w:val="24"/>
                <w:szCs w:val="24"/>
                <w:lang w:val="en-US" w:eastAsia="zh-CN" w:bidi="ar-SA"/>
              </w:rPr>
              <w:t>健全实践教学管理制度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新工科”教育背景下，注重运用在线教育、云教育、大数据等虚拟化、扁平化的交互式学习平台，充分发挥精品在线开放课程、虚拟仿真实验等教育方式作用，将现实课堂与虚拟课堂、网络教育结合起来，拓宽学生自主学习渠道平台，培养学生的实践创新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进一步细化实践教学各环节，实现实践教学的有效监控。积极派出教师进企业实践锻炼，加强教师工程背景；开发出专业实践教学环节的信息化管理系统，准确把握实践质量评价和信息反馈，提高实践教学效率和管理水平。</w:t>
            </w:r>
          </w:p>
          <w:p>
            <w:pPr>
              <w:keepNext w:val="0"/>
              <w:keepLines w:val="0"/>
              <w:pageBreakBefore w:val="0"/>
              <w:kinsoku/>
              <w:wordWrap/>
              <w:overflowPunct/>
              <w:topLinePunct w:val="0"/>
              <w:autoSpaceDE/>
              <w:autoSpaceDN/>
              <w:bidi w:val="0"/>
              <w:adjustRightInd/>
              <w:snapToGrid/>
              <w:spacing w:line="560" w:lineRule="exact"/>
              <w:ind w:firstLine="472" w:firstLineChars="196"/>
              <w:textAlignment w:val="auto"/>
              <w:rPr>
                <w:rFonts w:hint="eastAsia" w:ascii="Times New Roman" w:hAnsi="Times New Roman" w:eastAsia="仿宋" w:cs="Times New Roman"/>
                <w:b/>
                <w:bCs w:val="0"/>
                <w:kern w:val="2"/>
                <w:sz w:val="24"/>
                <w:szCs w:val="24"/>
                <w:lang w:val="en-US" w:eastAsia="zh-CN" w:bidi="ar-SA"/>
              </w:rPr>
            </w:pPr>
            <w:r>
              <w:rPr>
                <w:rFonts w:hint="eastAsia" w:ascii="Times New Roman" w:hAnsi="Times New Roman" w:eastAsia="仿宋" w:cs="Times New Roman"/>
                <w:b/>
                <w:bCs w:val="0"/>
                <w:kern w:val="2"/>
                <w:sz w:val="24"/>
                <w:szCs w:val="24"/>
                <w:lang w:val="en-US" w:eastAsia="zh-CN" w:bidi="ar-SA"/>
              </w:rPr>
              <w:t>（3）产教融合，搭建“科技创新平台”，提升学生科技创新能力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kern w:val="2"/>
                <w:sz w:val="24"/>
                <w:szCs w:val="24"/>
                <w:lang w:val="en-US" w:eastAsia="zh-CN" w:bidi="ar-SA"/>
              </w:rPr>
              <w:t>通过“课程教学项目化”、“教学做一体化”、“产学研一体化”实现“基本素质培养—核心技能训练—实践能力拓展—综合素质提升”的递进式培养过程。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方正小标宋_GBK" w:hAnsi="Times New Roman" w:eastAsia="仿宋_GB2312"/>
                <w:b/>
                <w:bCs/>
                <w:szCs w:val="21"/>
                <w:lang w:val="en-US"/>
              </w:rPr>
            </w:pPr>
            <w:r>
              <w:rPr>
                <w:rFonts w:hint="eastAsia" w:ascii="Times New Roman" w:hAnsi="Times New Roman" w:eastAsia="仿宋" w:cs="Times New Roman"/>
                <w:bCs/>
                <w:kern w:val="2"/>
                <w:sz w:val="24"/>
                <w:szCs w:val="24"/>
                <w:lang w:val="en-US" w:eastAsia="zh-CN" w:bidi="ar-SA"/>
              </w:rPr>
              <w:t>鼓励学生选择与企业生产实际相关的内容作为毕业设计课题，由校企双方教师共同指导完成。以科技成果转化、技术服务为抓手促进校企间深度合作，以研促产，以产带教，产教融合，协同培养高素质应用型人才，学生参与</w:t>
            </w:r>
            <w:r>
              <w:rPr>
                <w:rFonts w:hint="default" w:ascii="Times New Roman" w:hAnsi="Times New Roman" w:eastAsia="仿宋" w:cs="Times New Roman"/>
                <w:bCs/>
                <w:kern w:val="2"/>
                <w:sz w:val="24"/>
                <w:szCs w:val="24"/>
                <w:lang w:val="en-US" w:eastAsia="zh-CN" w:bidi="ar-SA"/>
              </w:rPr>
              <w:t>创新创业</w:t>
            </w:r>
            <w:r>
              <w:rPr>
                <w:rFonts w:hint="eastAsia" w:ascii="Times New Roman" w:hAnsi="Times New Roman" w:eastAsia="仿宋" w:cs="Times New Roman"/>
                <w:bCs/>
                <w:kern w:val="2"/>
                <w:sz w:val="24"/>
                <w:szCs w:val="24"/>
                <w:lang w:val="en-US" w:eastAsia="zh-CN" w:bidi="ar-SA"/>
              </w:rPr>
              <w:t>及各类竞赛</w:t>
            </w:r>
            <w:r>
              <w:rPr>
                <w:rFonts w:hint="default" w:ascii="Times New Roman" w:hAnsi="Times New Roman" w:eastAsia="仿宋" w:cs="Times New Roman"/>
                <w:bCs/>
                <w:kern w:val="2"/>
                <w:sz w:val="24"/>
                <w:szCs w:val="24"/>
                <w:lang w:val="en-US" w:eastAsia="zh-CN" w:bidi="ar-SA"/>
              </w:rPr>
              <w:t>项目比例提升到</w:t>
            </w:r>
            <w:r>
              <w:rPr>
                <w:rFonts w:hint="eastAsia" w:ascii="Times New Roman" w:hAnsi="Times New Roman" w:eastAsia="仿宋" w:cs="Times New Roman"/>
                <w:bCs/>
                <w:kern w:val="2"/>
                <w:sz w:val="24"/>
                <w:szCs w:val="24"/>
                <w:lang w:val="en-US" w:eastAsia="zh-CN" w:bidi="ar-SA"/>
              </w:rPr>
              <w:t>5</w:t>
            </w:r>
            <w:r>
              <w:rPr>
                <w:rFonts w:hint="default" w:ascii="Times New Roman" w:hAnsi="Times New Roman" w:eastAsia="仿宋" w:cs="Times New Roman"/>
                <w:bCs/>
                <w:kern w:val="2"/>
                <w:sz w:val="24"/>
                <w:szCs w:val="24"/>
                <w:lang w:val="en-US" w:eastAsia="zh-CN" w:bidi="ar-SA"/>
              </w:rPr>
              <w:t>0%</w:t>
            </w:r>
            <w:r>
              <w:rPr>
                <w:rFonts w:hint="eastAsia" w:ascii="Times New Roman" w:hAnsi="Times New Roman" w:eastAsia="仿宋" w:cs="Times New Roman"/>
                <w:bCs/>
                <w:kern w:val="2"/>
                <w:sz w:val="24"/>
                <w:szCs w:val="24"/>
                <w:lang w:val="en-US" w:eastAsia="zh-CN" w:bidi="ar-SA"/>
              </w:rPr>
              <w:t>以上</w:t>
            </w:r>
            <w:r>
              <w:rPr>
                <w:rFonts w:hint="default" w:ascii="Times New Roman" w:hAnsi="Times New Roman" w:eastAsia="仿宋" w:cs="Times New Roman"/>
                <w:bCs/>
                <w:kern w:val="2"/>
                <w:sz w:val="24"/>
                <w:szCs w:val="24"/>
                <w:lang w:val="en-US" w:eastAsia="zh-CN" w:bidi="ar-SA"/>
              </w:rPr>
              <w:t>。</w:t>
            </w:r>
          </w:p>
        </w:tc>
      </w:tr>
      <w:bookmarkEnd w:id="0"/>
    </w:tbl>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YWY4MzM0ZTIxNThjMzc4ZDkyMjBlZWQzYjVjNmUifQ=="/>
  </w:docVars>
  <w:rsids>
    <w:rsidRoot w:val="00BD1F55"/>
    <w:rsid w:val="005D2854"/>
    <w:rsid w:val="00923D50"/>
    <w:rsid w:val="009E5C53"/>
    <w:rsid w:val="00AF3B07"/>
    <w:rsid w:val="00BD1F55"/>
    <w:rsid w:val="017575C5"/>
    <w:rsid w:val="01BD7A4F"/>
    <w:rsid w:val="04A10F62"/>
    <w:rsid w:val="04A44EF6"/>
    <w:rsid w:val="04AD0267"/>
    <w:rsid w:val="05A30D0A"/>
    <w:rsid w:val="065D35AE"/>
    <w:rsid w:val="07035F04"/>
    <w:rsid w:val="0876695A"/>
    <w:rsid w:val="09120680"/>
    <w:rsid w:val="094239CA"/>
    <w:rsid w:val="0A68035E"/>
    <w:rsid w:val="0AEF41C4"/>
    <w:rsid w:val="0AFD0EBC"/>
    <w:rsid w:val="0B00275A"/>
    <w:rsid w:val="0B6727D9"/>
    <w:rsid w:val="0F000F7B"/>
    <w:rsid w:val="0F8336E2"/>
    <w:rsid w:val="10611EED"/>
    <w:rsid w:val="120B2110"/>
    <w:rsid w:val="12392615"/>
    <w:rsid w:val="14F11A91"/>
    <w:rsid w:val="179B5CE4"/>
    <w:rsid w:val="17F92A0B"/>
    <w:rsid w:val="19263CD4"/>
    <w:rsid w:val="1A7F369B"/>
    <w:rsid w:val="1B155DAE"/>
    <w:rsid w:val="1D01483C"/>
    <w:rsid w:val="1E8512B1"/>
    <w:rsid w:val="1F10520A"/>
    <w:rsid w:val="1F1E750D"/>
    <w:rsid w:val="1FF30E78"/>
    <w:rsid w:val="25C94365"/>
    <w:rsid w:val="27BA21B7"/>
    <w:rsid w:val="292F44DF"/>
    <w:rsid w:val="2AC86999"/>
    <w:rsid w:val="2C7D37B3"/>
    <w:rsid w:val="2C8272FB"/>
    <w:rsid w:val="2CE7339C"/>
    <w:rsid w:val="2D094A78"/>
    <w:rsid w:val="2DD90EBD"/>
    <w:rsid w:val="300E12F2"/>
    <w:rsid w:val="306F78B6"/>
    <w:rsid w:val="30963095"/>
    <w:rsid w:val="30B654E5"/>
    <w:rsid w:val="31532A51"/>
    <w:rsid w:val="31A35A6A"/>
    <w:rsid w:val="31B9528D"/>
    <w:rsid w:val="31CD0D39"/>
    <w:rsid w:val="31EB4D51"/>
    <w:rsid w:val="370945C1"/>
    <w:rsid w:val="39763A64"/>
    <w:rsid w:val="39BB4B86"/>
    <w:rsid w:val="39CB3DB0"/>
    <w:rsid w:val="3BB70A8F"/>
    <w:rsid w:val="3DA9265A"/>
    <w:rsid w:val="400C3435"/>
    <w:rsid w:val="40827192"/>
    <w:rsid w:val="428D254A"/>
    <w:rsid w:val="42C773DE"/>
    <w:rsid w:val="44112D07"/>
    <w:rsid w:val="449556E6"/>
    <w:rsid w:val="44D426B2"/>
    <w:rsid w:val="47332F94"/>
    <w:rsid w:val="47665874"/>
    <w:rsid w:val="490D6193"/>
    <w:rsid w:val="495C4A24"/>
    <w:rsid w:val="49F27137"/>
    <w:rsid w:val="4B7E5126"/>
    <w:rsid w:val="4D722A68"/>
    <w:rsid w:val="4DDA685F"/>
    <w:rsid w:val="4E740A62"/>
    <w:rsid w:val="51EB2DE9"/>
    <w:rsid w:val="53226CDE"/>
    <w:rsid w:val="55821CB6"/>
    <w:rsid w:val="55AA4D69"/>
    <w:rsid w:val="56570A4D"/>
    <w:rsid w:val="59BE0DE3"/>
    <w:rsid w:val="5BFE7AC0"/>
    <w:rsid w:val="5D79574D"/>
    <w:rsid w:val="5DCA244C"/>
    <w:rsid w:val="5E053485"/>
    <w:rsid w:val="5E745F14"/>
    <w:rsid w:val="5E8D02D5"/>
    <w:rsid w:val="5F3538F6"/>
    <w:rsid w:val="5F3C4A92"/>
    <w:rsid w:val="5FFD07ED"/>
    <w:rsid w:val="602D0A71"/>
    <w:rsid w:val="603B4F3C"/>
    <w:rsid w:val="619A2136"/>
    <w:rsid w:val="62854049"/>
    <w:rsid w:val="6287090C"/>
    <w:rsid w:val="64E57B6C"/>
    <w:rsid w:val="66246472"/>
    <w:rsid w:val="664408C2"/>
    <w:rsid w:val="672C3830"/>
    <w:rsid w:val="685272C6"/>
    <w:rsid w:val="691C1682"/>
    <w:rsid w:val="6A0C3D78"/>
    <w:rsid w:val="6A2133F4"/>
    <w:rsid w:val="6ACB3360"/>
    <w:rsid w:val="6AD2649C"/>
    <w:rsid w:val="6B9B0F84"/>
    <w:rsid w:val="6BDB3A77"/>
    <w:rsid w:val="6E777A87"/>
    <w:rsid w:val="6F2179F2"/>
    <w:rsid w:val="6F8F7097"/>
    <w:rsid w:val="6FA709D3"/>
    <w:rsid w:val="6FCF498C"/>
    <w:rsid w:val="708B7819"/>
    <w:rsid w:val="75DE03EB"/>
    <w:rsid w:val="763C5112"/>
    <w:rsid w:val="777C7EBC"/>
    <w:rsid w:val="77A028EC"/>
    <w:rsid w:val="78342545"/>
    <w:rsid w:val="79A61220"/>
    <w:rsid w:val="7B741E65"/>
    <w:rsid w:val="7BA57FF8"/>
    <w:rsid w:val="7C605FFE"/>
    <w:rsid w:val="7DF74740"/>
    <w:rsid w:val="7E537AFD"/>
    <w:rsid w:val="7E855D04"/>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36" w:lineRule="atLeast"/>
      <w:jc w:val="left"/>
    </w:pPr>
    <w:rPr>
      <w:rFonts w:ascii="宋体" w:hAnsi="宋体" w:cs="宋体"/>
      <w:kern w:val="0"/>
      <w:sz w:val="24"/>
      <w:szCs w:val="24"/>
    </w:rPr>
  </w:style>
  <w:style w:type="character" w:customStyle="1" w:styleId="8">
    <w:name w:val="页脚 Char"/>
    <w:basedOn w:val="7"/>
    <w:link w:val="3"/>
    <w:qFormat/>
    <w:uiPriority w:val="99"/>
    <w:rPr>
      <w:sz w:val="18"/>
      <w:szCs w:val="18"/>
    </w:rPr>
  </w:style>
  <w:style w:type="character" w:customStyle="1" w:styleId="9">
    <w:name w:val="页眉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9644</Words>
  <Characters>10228</Characters>
  <Lines>11</Lines>
  <Paragraphs>3</Paragraphs>
  <TotalTime>60</TotalTime>
  <ScaleCrop>false</ScaleCrop>
  <LinksUpToDate>false</LinksUpToDate>
  <CharactersWithSpaces>10350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2021-10-28T04:06:00Z</dcterms:created>
  <dc:creator>USER</dc:creator>
  <cp:lastModifiedBy>admin</cp:lastModifiedBy>
  <cp:lastPrinted>2021-11-07T10:15:00Z</cp:lastPrinted>
  <dcterms:modified xsi:type="dcterms:W3CDTF">2022-11-30T03:30:37Z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745A0883D89C41EC8D2620F5B8C7346E</vt:lpwstr>
  </property>
</Properties>
</file>